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E7BEB" w14:textId="69AA0709" w:rsidR="0064507B" w:rsidRPr="00112DB6" w:rsidRDefault="0064507B" w:rsidP="009E51EE">
      <w:pPr>
        <w:pStyle w:val="Heading1"/>
        <w:spacing w:line="240" w:lineRule="auto"/>
        <w:rPr>
          <w:rFonts w:cs="Times New Roman"/>
          <w:sz w:val="28"/>
          <w:szCs w:val="28"/>
          <w:lang w:val="en-US"/>
        </w:rPr>
      </w:pPr>
      <w:r w:rsidRPr="00112DB6">
        <w:rPr>
          <w:rFonts w:cs="Times New Roman"/>
          <w:sz w:val="28"/>
          <w:szCs w:val="28"/>
          <w:lang w:val="en-US"/>
        </w:rPr>
        <w:t>Ten-</w:t>
      </w:r>
      <w:r w:rsidR="008624FF">
        <w:rPr>
          <w:rFonts w:cs="Times New Roman"/>
          <w:sz w:val="28"/>
          <w:szCs w:val="28"/>
          <w:lang w:val="en-US"/>
        </w:rPr>
        <w:t>Y</w:t>
      </w:r>
      <w:r w:rsidRPr="00112DB6">
        <w:rPr>
          <w:rFonts w:cs="Times New Roman"/>
          <w:sz w:val="28"/>
          <w:szCs w:val="28"/>
          <w:lang w:val="en-US"/>
        </w:rPr>
        <w:t xml:space="preserve">ear </w:t>
      </w:r>
      <w:r w:rsidR="008624FF">
        <w:rPr>
          <w:rFonts w:cs="Times New Roman"/>
          <w:sz w:val="28"/>
          <w:szCs w:val="28"/>
          <w:lang w:val="en-US"/>
        </w:rPr>
        <w:t>S</w:t>
      </w:r>
      <w:r w:rsidRPr="00112DB6">
        <w:rPr>
          <w:rFonts w:cs="Times New Roman"/>
          <w:sz w:val="28"/>
          <w:szCs w:val="28"/>
          <w:lang w:val="en-US"/>
        </w:rPr>
        <w:t xml:space="preserve">urvival of </w:t>
      </w:r>
      <w:r w:rsidR="008624FF">
        <w:rPr>
          <w:rFonts w:cs="Times New Roman"/>
          <w:sz w:val="28"/>
          <w:szCs w:val="28"/>
          <w:lang w:val="en-US"/>
        </w:rPr>
        <w:t>C</w:t>
      </w:r>
      <w:r w:rsidRPr="00112DB6">
        <w:rPr>
          <w:rFonts w:cs="Times New Roman"/>
          <w:sz w:val="28"/>
          <w:szCs w:val="28"/>
          <w:lang w:val="en-US"/>
        </w:rPr>
        <w:t xml:space="preserve">hildren with </w:t>
      </w:r>
      <w:r w:rsidR="008624FF">
        <w:rPr>
          <w:rFonts w:cs="Times New Roman"/>
          <w:sz w:val="28"/>
          <w:szCs w:val="28"/>
          <w:lang w:val="en-US"/>
        </w:rPr>
        <w:t>Co</w:t>
      </w:r>
      <w:r w:rsidRPr="00112DB6">
        <w:rPr>
          <w:rFonts w:cs="Times New Roman"/>
          <w:sz w:val="28"/>
          <w:szCs w:val="28"/>
          <w:lang w:val="en-US"/>
        </w:rPr>
        <w:t xml:space="preserve">ngenital </w:t>
      </w:r>
      <w:r w:rsidR="008624FF">
        <w:rPr>
          <w:rFonts w:cs="Times New Roman"/>
          <w:sz w:val="28"/>
          <w:szCs w:val="28"/>
          <w:lang w:val="en-US"/>
        </w:rPr>
        <w:t>A</w:t>
      </w:r>
      <w:r w:rsidRPr="00112DB6">
        <w:rPr>
          <w:rFonts w:cs="Times New Roman"/>
          <w:sz w:val="28"/>
          <w:szCs w:val="28"/>
          <w:lang w:val="en-US"/>
        </w:rPr>
        <w:t xml:space="preserve">nomalies: </w:t>
      </w:r>
      <w:r w:rsidR="008624FF" w:rsidRPr="00E24F09">
        <w:rPr>
          <w:rFonts w:cs="Times New Roman"/>
          <w:sz w:val="28"/>
          <w:szCs w:val="28"/>
          <w:highlight w:val="yellow"/>
          <w:lang w:val="en-US"/>
        </w:rPr>
        <w:t>A</w:t>
      </w:r>
      <w:r w:rsidRPr="00E24F09">
        <w:rPr>
          <w:rFonts w:cs="Times New Roman"/>
          <w:sz w:val="28"/>
          <w:szCs w:val="28"/>
          <w:highlight w:val="yellow"/>
          <w:lang w:val="en-US"/>
        </w:rPr>
        <w:t xml:space="preserve"> </w:t>
      </w:r>
      <w:r w:rsidR="008624FF" w:rsidRPr="00E24F09">
        <w:rPr>
          <w:rFonts w:cs="Times New Roman"/>
          <w:sz w:val="28"/>
          <w:szCs w:val="28"/>
          <w:highlight w:val="yellow"/>
          <w:lang w:val="en-US"/>
        </w:rPr>
        <w:t>European C</w:t>
      </w:r>
      <w:r w:rsidRPr="00E24F09">
        <w:rPr>
          <w:rFonts w:cs="Times New Roman"/>
          <w:sz w:val="28"/>
          <w:szCs w:val="28"/>
          <w:highlight w:val="yellow"/>
          <w:lang w:val="en-US"/>
        </w:rPr>
        <w:t>ohort</w:t>
      </w:r>
      <w:r w:rsidRPr="00112DB6">
        <w:rPr>
          <w:rFonts w:cs="Times New Roman"/>
          <w:sz w:val="28"/>
          <w:szCs w:val="28"/>
          <w:lang w:val="en-US"/>
        </w:rPr>
        <w:t xml:space="preserve"> </w:t>
      </w:r>
      <w:r w:rsidR="008624FF">
        <w:rPr>
          <w:rFonts w:cs="Times New Roman"/>
          <w:sz w:val="28"/>
          <w:szCs w:val="28"/>
          <w:lang w:val="en-US"/>
        </w:rPr>
        <w:t>S</w:t>
      </w:r>
      <w:r w:rsidRPr="00112DB6">
        <w:rPr>
          <w:rFonts w:cs="Times New Roman"/>
          <w:sz w:val="28"/>
          <w:szCs w:val="28"/>
          <w:lang w:val="en-US"/>
        </w:rPr>
        <w:t>tudy</w:t>
      </w:r>
    </w:p>
    <w:p w14:paraId="0054B02E" w14:textId="77777777" w:rsidR="0064507B" w:rsidRPr="00112DB6" w:rsidRDefault="0064507B" w:rsidP="009E51EE">
      <w:pPr>
        <w:pStyle w:val="Title"/>
        <w:spacing w:before="0"/>
        <w:rPr>
          <w:rFonts w:cs="Times New Roman"/>
          <w:b w:val="0"/>
          <w:bCs w:val="0"/>
          <w:sz w:val="24"/>
          <w:szCs w:val="24"/>
          <w:lang w:val="en-US"/>
        </w:rPr>
      </w:pPr>
    </w:p>
    <w:p w14:paraId="4BF784F7" w14:textId="77777777" w:rsidR="0064507B" w:rsidRPr="00112DB6" w:rsidRDefault="0064507B" w:rsidP="009E51EE">
      <w:pPr>
        <w:pStyle w:val="Title"/>
        <w:spacing w:before="0"/>
        <w:rPr>
          <w:rFonts w:cs="Times New Roman"/>
          <w:b w:val="0"/>
          <w:bCs w:val="0"/>
          <w:sz w:val="24"/>
          <w:szCs w:val="24"/>
          <w:lang w:val="en-US"/>
        </w:rPr>
      </w:pPr>
      <w:proofErr w:type="gramStart"/>
      <w:r w:rsidRPr="00112DB6">
        <w:rPr>
          <w:rFonts w:cs="Times New Roman"/>
          <w:b w:val="0"/>
          <w:bCs w:val="0"/>
          <w:sz w:val="24"/>
          <w:szCs w:val="24"/>
          <w:lang w:val="en-US"/>
        </w:rPr>
        <w:t>Svetlana V Glinianaia</w:t>
      </w:r>
      <w:r w:rsidRPr="00112DB6">
        <w:rPr>
          <w:rFonts w:cs="Times New Roman"/>
          <w:b w:val="0"/>
          <w:bCs w:val="0"/>
          <w:sz w:val="24"/>
          <w:szCs w:val="24"/>
          <w:vertAlign w:val="superscript"/>
          <w:lang w:val="en-US"/>
        </w:rPr>
        <w:t>1</w:t>
      </w:r>
      <w:r w:rsidRPr="00112DB6">
        <w:rPr>
          <w:rFonts w:cs="Times New Roman"/>
          <w:b w:val="0"/>
          <w:bCs w:val="0"/>
          <w:sz w:val="24"/>
          <w:szCs w:val="24"/>
          <w:lang w:val="en-US"/>
        </w:rPr>
        <w:t>, MD; Judith Rankin</w:t>
      </w:r>
      <w:r w:rsidRPr="00112DB6">
        <w:rPr>
          <w:rFonts w:cs="Times New Roman"/>
          <w:b w:val="0"/>
          <w:bCs w:val="0"/>
          <w:sz w:val="24"/>
          <w:szCs w:val="24"/>
          <w:vertAlign w:val="superscript"/>
          <w:lang w:val="en-US"/>
        </w:rPr>
        <w:t>1</w:t>
      </w:r>
      <w:r w:rsidRPr="00112DB6">
        <w:rPr>
          <w:rFonts w:cs="Times New Roman"/>
          <w:b w:val="0"/>
          <w:bCs w:val="0"/>
          <w:sz w:val="24"/>
          <w:szCs w:val="24"/>
          <w:lang w:val="en-US"/>
        </w:rPr>
        <w:t>, PhD; Anna Pierini</w:t>
      </w:r>
      <w:r w:rsidRPr="00112DB6">
        <w:rPr>
          <w:rFonts w:cs="Times New Roman"/>
          <w:b w:val="0"/>
          <w:bCs w:val="0"/>
          <w:sz w:val="24"/>
          <w:szCs w:val="24"/>
          <w:vertAlign w:val="superscript"/>
          <w:lang w:val="en-US"/>
        </w:rPr>
        <w:t>2,3</w:t>
      </w:r>
      <w:r w:rsidRPr="00112DB6">
        <w:rPr>
          <w:rFonts w:cs="Times New Roman"/>
          <w:b w:val="0"/>
          <w:bCs w:val="0"/>
          <w:sz w:val="24"/>
          <w:szCs w:val="24"/>
          <w:lang w:val="en-US"/>
        </w:rPr>
        <w:t>, BSc; Alessio Coi</w:t>
      </w:r>
      <w:r w:rsidRPr="00112DB6">
        <w:rPr>
          <w:rFonts w:cs="Times New Roman"/>
          <w:b w:val="0"/>
          <w:bCs w:val="0"/>
          <w:sz w:val="24"/>
          <w:szCs w:val="24"/>
          <w:vertAlign w:val="superscript"/>
          <w:lang w:val="en-US"/>
        </w:rPr>
        <w:t>2</w:t>
      </w:r>
      <w:r w:rsidRPr="00112DB6">
        <w:rPr>
          <w:rFonts w:cs="Times New Roman"/>
          <w:b w:val="0"/>
          <w:bCs w:val="0"/>
          <w:sz w:val="24"/>
          <w:szCs w:val="24"/>
          <w:lang w:val="en-US"/>
        </w:rPr>
        <w:t>, PhD; Michele Santoro</w:t>
      </w:r>
      <w:r w:rsidRPr="00112DB6">
        <w:rPr>
          <w:rFonts w:cs="Times New Roman"/>
          <w:b w:val="0"/>
          <w:bCs w:val="0"/>
          <w:sz w:val="24"/>
          <w:szCs w:val="24"/>
          <w:vertAlign w:val="superscript"/>
          <w:lang w:val="en-US"/>
        </w:rPr>
        <w:t>2</w:t>
      </w:r>
      <w:r w:rsidRPr="00112DB6">
        <w:rPr>
          <w:rFonts w:cs="Times New Roman"/>
          <w:b w:val="0"/>
          <w:bCs w:val="0"/>
          <w:sz w:val="24"/>
          <w:szCs w:val="24"/>
          <w:lang w:val="en-US"/>
        </w:rPr>
        <w:t>, MSc; Joachim Tan</w:t>
      </w:r>
      <w:r w:rsidRPr="00112DB6">
        <w:rPr>
          <w:rFonts w:cs="Times New Roman"/>
          <w:b w:val="0"/>
          <w:bCs w:val="0"/>
          <w:sz w:val="24"/>
          <w:szCs w:val="24"/>
          <w:vertAlign w:val="superscript"/>
          <w:lang w:val="en-US"/>
        </w:rPr>
        <w:t>4</w:t>
      </w:r>
      <w:r w:rsidRPr="00112DB6">
        <w:rPr>
          <w:rFonts w:cs="Times New Roman"/>
          <w:b w:val="0"/>
          <w:bCs w:val="0"/>
          <w:sz w:val="24"/>
          <w:szCs w:val="24"/>
          <w:lang w:val="en-US"/>
        </w:rPr>
        <w:t>, PhD; Abigail Reid</w:t>
      </w:r>
      <w:r w:rsidRPr="00112DB6">
        <w:rPr>
          <w:rFonts w:cs="Times New Roman"/>
          <w:b w:val="0"/>
          <w:bCs w:val="0"/>
          <w:sz w:val="24"/>
          <w:szCs w:val="24"/>
          <w:vertAlign w:val="superscript"/>
          <w:lang w:val="en-US"/>
        </w:rPr>
        <w:t>4</w:t>
      </w:r>
      <w:r w:rsidRPr="00112DB6">
        <w:rPr>
          <w:rFonts w:cs="Times New Roman"/>
          <w:b w:val="0"/>
          <w:bCs w:val="0"/>
          <w:sz w:val="24"/>
          <w:szCs w:val="24"/>
          <w:lang w:val="en-US"/>
        </w:rPr>
        <w:t>, MA; Ester Garne</w:t>
      </w:r>
      <w:r w:rsidRPr="00112DB6">
        <w:rPr>
          <w:rFonts w:cs="Times New Roman"/>
          <w:b w:val="0"/>
          <w:bCs w:val="0"/>
          <w:sz w:val="24"/>
          <w:szCs w:val="24"/>
          <w:vertAlign w:val="superscript"/>
          <w:lang w:val="en-US"/>
        </w:rPr>
        <w:t>5</w:t>
      </w:r>
      <w:r w:rsidRPr="00112DB6">
        <w:rPr>
          <w:rFonts w:cs="Times New Roman"/>
          <w:b w:val="0"/>
          <w:bCs w:val="0"/>
          <w:sz w:val="24"/>
          <w:szCs w:val="24"/>
          <w:lang w:val="en-US"/>
        </w:rPr>
        <w:t>, MD; Maria Loane</w:t>
      </w:r>
      <w:r w:rsidRPr="00112DB6">
        <w:rPr>
          <w:rFonts w:cs="Times New Roman"/>
          <w:b w:val="0"/>
          <w:bCs w:val="0"/>
          <w:sz w:val="24"/>
          <w:szCs w:val="24"/>
          <w:vertAlign w:val="superscript"/>
          <w:lang w:val="en-US"/>
        </w:rPr>
        <w:t>6</w:t>
      </w:r>
      <w:r w:rsidRPr="00112DB6">
        <w:rPr>
          <w:rFonts w:cs="Times New Roman"/>
          <w:b w:val="0"/>
          <w:bCs w:val="0"/>
          <w:sz w:val="24"/>
          <w:szCs w:val="24"/>
          <w:lang w:val="en-US"/>
        </w:rPr>
        <w:t>, PhD; Joanne Given</w:t>
      </w:r>
      <w:r w:rsidRPr="00112DB6">
        <w:rPr>
          <w:rFonts w:cs="Times New Roman"/>
          <w:b w:val="0"/>
          <w:bCs w:val="0"/>
          <w:sz w:val="24"/>
          <w:szCs w:val="24"/>
          <w:vertAlign w:val="superscript"/>
          <w:lang w:val="en-US"/>
        </w:rPr>
        <w:t>6</w:t>
      </w:r>
      <w:r w:rsidRPr="00112DB6">
        <w:rPr>
          <w:rFonts w:cs="Times New Roman"/>
          <w:b w:val="0"/>
          <w:bCs w:val="0"/>
          <w:sz w:val="24"/>
          <w:szCs w:val="24"/>
          <w:lang w:val="en-US"/>
        </w:rPr>
        <w:t xml:space="preserve">, PhD, MSc; </w:t>
      </w:r>
      <w:r w:rsidRPr="00112DB6">
        <w:rPr>
          <w:rFonts w:cs="Times New Roman"/>
          <w:b w:val="0"/>
          <w:bCs w:val="0"/>
          <w:color w:val="000000"/>
          <w:sz w:val="24"/>
          <w:szCs w:val="24"/>
          <w:lang w:val="en-US"/>
        </w:rPr>
        <w:t>Clara Cavero-Carbonell</w:t>
      </w:r>
      <w:r w:rsidRPr="00112DB6">
        <w:rPr>
          <w:rFonts w:cs="Times New Roman"/>
          <w:b w:val="0"/>
          <w:bCs w:val="0"/>
          <w:sz w:val="24"/>
          <w:szCs w:val="24"/>
          <w:vertAlign w:val="superscript"/>
          <w:lang w:val="en-US"/>
        </w:rPr>
        <w:t>7</w:t>
      </w:r>
      <w:r w:rsidRPr="00112DB6">
        <w:rPr>
          <w:rFonts w:cs="Times New Roman"/>
          <w:b w:val="0"/>
          <w:bCs w:val="0"/>
          <w:color w:val="000000"/>
          <w:sz w:val="24"/>
          <w:szCs w:val="24"/>
          <w:lang w:val="en-US"/>
        </w:rPr>
        <w:t>, PhD; Hermien EK de Walle</w:t>
      </w:r>
      <w:r w:rsidRPr="00112DB6">
        <w:rPr>
          <w:rFonts w:cs="Times New Roman"/>
          <w:b w:val="0"/>
          <w:bCs w:val="0"/>
          <w:sz w:val="24"/>
          <w:szCs w:val="24"/>
          <w:vertAlign w:val="superscript"/>
          <w:lang w:val="en-US"/>
        </w:rPr>
        <w:t>8</w:t>
      </w:r>
      <w:r w:rsidRPr="00112DB6">
        <w:rPr>
          <w:rFonts w:cs="Times New Roman"/>
          <w:b w:val="0"/>
          <w:bCs w:val="0"/>
          <w:sz w:val="24"/>
          <w:szCs w:val="24"/>
          <w:lang w:val="en-US"/>
        </w:rPr>
        <w:t>, PhD; Miriam Gatt</w:t>
      </w:r>
      <w:r w:rsidRPr="00112DB6">
        <w:rPr>
          <w:rFonts w:cs="Times New Roman"/>
          <w:b w:val="0"/>
          <w:bCs w:val="0"/>
          <w:sz w:val="24"/>
          <w:szCs w:val="24"/>
          <w:vertAlign w:val="superscript"/>
          <w:lang w:val="en-US"/>
        </w:rPr>
        <w:t>9</w:t>
      </w:r>
      <w:r w:rsidRPr="00112DB6">
        <w:rPr>
          <w:rFonts w:cs="Times New Roman"/>
          <w:b w:val="0"/>
          <w:bCs w:val="0"/>
          <w:sz w:val="24"/>
          <w:szCs w:val="24"/>
          <w:lang w:val="en-US"/>
        </w:rPr>
        <w:t xml:space="preserve">, MD, MSc; </w:t>
      </w:r>
      <w:r w:rsidRPr="00112DB6">
        <w:rPr>
          <w:rFonts w:eastAsia="Times New Roman" w:cs="Times New Roman"/>
          <w:b w:val="0"/>
          <w:bCs w:val="0"/>
          <w:color w:val="000000"/>
          <w:sz w:val="24"/>
          <w:szCs w:val="24"/>
          <w:lang w:val="en-US" w:eastAsia="en-GB"/>
        </w:rPr>
        <w:t>Mika Gissler</w:t>
      </w:r>
      <w:r w:rsidRPr="00112DB6">
        <w:rPr>
          <w:rFonts w:eastAsia="Times New Roman" w:cs="Times New Roman"/>
          <w:b w:val="0"/>
          <w:bCs w:val="0"/>
          <w:color w:val="000000"/>
          <w:sz w:val="24"/>
          <w:szCs w:val="24"/>
          <w:vertAlign w:val="superscript"/>
          <w:lang w:val="en-US" w:eastAsia="en-GB"/>
        </w:rPr>
        <w:t>10</w:t>
      </w:r>
      <w:r w:rsidRPr="00112DB6">
        <w:rPr>
          <w:rFonts w:cs="Times New Roman"/>
          <w:b w:val="0"/>
          <w:bCs w:val="0"/>
          <w:color w:val="000000"/>
          <w:sz w:val="24"/>
          <w:szCs w:val="24"/>
          <w:lang w:val="en-US"/>
        </w:rPr>
        <w:t>, PhD; Anna Heino</w:t>
      </w:r>
      <w:r w:rsidRPr="00112DB6">
        <w:rPr>
          <w:rFonts w:eastAsia="Times New Roman" w:cs="Times New Roman"/>
          <w:b w:val="0"/>
          <w:bCs w:val="0"/>
          <w:color w:val="000000"/>
          <w:sz w:val="24"/>
          <w:szCs w:val="24"/>
          <w:vertAlign w:val="superscript"/>
          <w:lang w:val="en-US" w:eastAsia="en-GB"/>
        </w:rPr>
        <w:t>10</w:t>
      </w:r>
      <w:r w:rsidRPr="00112DB6">
        <w:rPr>
          <w:rFonts w:eastAsia="Times New Roman" w:cs="Times New Roman"/>
          <w:b w:val="0"/>
          <w:bCs w:val="0"/>
          <w:color w:val="000000"/>
          <w:sz w:val="24"/>
          <w:szCs w:val="24"/>
          <w:lang w:val="en-US" w:eastAsia="en-GB"/>
        </w:rPr>
        <w:t xml:space="preserve">, </w:t>
      </w:r>
      <w:bookmarkStart w:id="0" w:name="_Hlk73021761"/>
      <w:proofErr w:type="spellStart"/>
      <w:r w:rsidRPr="00112DB6">
        <w:rPr>
          <w:rFonts w:eastAsia="Times New Roman" w:cs="Times New Roman"/>
          <w:b w:val="0"/>
          <w:bCs w:val="0"/>
          <w:color w:val="000000"/>
          <w:sz w:val="24"/>
          <w:szCs w:val="24"/>
          <w:lang w:val="en-US" w:eastAsia="en-GB"/>
        </w:rPr>
        <w:t>MSSc</w:t>
      </w:r>
      <w:proofErr w:type="spellEnd"/>
      <w:r w:rsidRPr="00112DB6">
        <w:rPr>
          <w:rFonts w:eastAsia="Times New Roman" w:cs="Times New Roman"/>
          <w:b w:val="0"/>
          <w:bCs w:val="0"/>
          <w:color w:val="000000"/>
          <w:sz w:val="24"/>
          <w:szCs w:val="24"/>
          <w:lang w:val="en-US" w:eastAsia="en-GB"/>
        </w:rPr>
        <w:t>, MA</w:t>
      </w:r>
      <w:bookmarkEnd w:id="0"/>
      <w:r w:rsidRPr="00112DB6">
        <w:rPr>
          <w:rFonts w:eastAsia="Times New Roman" w:cs="Times New Roman"/>
          <w:b w:val="0"/>
          <w:bCs w:val="0"/>
          <w:color w:val="000000"/>
          <w:sz w:val="24"/>
          <w:szCs w:val="24"/>
          <w:lang w:val="en-US" w:eastAsia="en-GB"/>
        </w:rPr>
        <w:t xml:space="preserve">; </w:t>
      </w:r>
      <w:r w:rsidRPr="00112DB6">
        <w:rPr>
          <w:rFonts w:cs="Times New Roman"/>
          <w:b w:val="0"/>
          <w:bCs w:val="0"/>
          <w:color w:val="000000"/>
          <w:sz w:val="24"/>
          <w:szCs w:val="24"/>
          <w:lang w:val="en-US"/>
        </w:rPr>
        <w:t>Babak Khoshnood</w:t>
      </w:r>
      <w:r w:rsidRPr="00112DB6">
        <w:rPr>
          <w:rFonts w:cs="Times New Roman"/>
          <w:b w:val="0"/>
          <w:bCs w:val="0"/>
          <w:sz w:val="24"/>
          <w:szCs w:val="24"/>
          <w:vertAlign w:val="superscript"/>
          <w:lang w:val="en-US"/>
        </w:rPr>
        <w:t>11</w:t>
      </w:r>
      <w:r w:rsidRPr="00112DB6">
        <w:rPr>
          <w:rFonts w:cs="Times New Roman"/>
          <w:b w:val="0"/>
          <w:bCs w:val="0"/>
          <w:color w:val="000000"/>
          <w:sz w:val="24"/>
          <w:szCs w:val="24"/>
          <w:lang w:val="en-US"/>
        </w:rPr>
        <w:t>, MD, PhD; Kari Klungsøyr</w:t>
      </w:r>
      <w:r w:rsidRPr="00112DB6">
        <w:rPr>
          <w:rFonts w:cs="Times New Roman"/>
          <w:b w:val="0"/>
          <w:bCs w:val="0"/>
          <w:sz w:val="24"/>
          <w:szCs w:val="24"/>
          <w:vertAlign w:val="superscript"/>
          <w:lang w:val="en-US"/>
        </w:rPr>
        <w:t>12,13</w:t>
      </w:r>
      <w:r w:rsidRPr="00112DB6">
        <w:rPr>
          <w:rFonts w:cs="Times New Roman"/>
          <w:b w:val="0"/>
          <w:bCs w:val="0"/>
          <w:sz w:val="24"/>
          <w:szCs w:val="24"/>
          <w:lang w:val="en-US"/>
        </w:rPr>
        <w:t xml:space="preserve">, </w:t>
      </w:r>
      <w:r w:rsidRPr="00112DB6">
        <w:rPr>
          <w:rFonts w:cs="Times New Roman"/>
          <w:b w:val="0"/>
          <w:bCs w:val="0"/>
          <w:color w:val="000000"/>
          <w:sz w:val="24"/>
          <w:szCs w:val="24"/>
          <w:lang w:val="en-US"/>
        </w:rPr>
        <w:t>MD, PhD; Nathalie Lelong</w:t>
      </w:r>
      <w:r w:rsidRPr="00112DB6">
        <w:rPr>
          <w:rFonts w:cs="Times New Roman"/>
          <w:b w:val="0"/>
          <w:bCs w:val="0"/>
          <w:sz w:val="24"/>
          <w:szCs w:val="24"/>
          <w:vertAlign w:val="superscript"/>
          <w:lang w:val="en-US"/>
        </w:rPr>
        <w:t>11</w:t>
      </w:r>
      <w:r w:rsidRPr="00112DB6">
        <w:rPr>
          <w:rFonts w:cs="Times New Roman"/>
          <w:b w:val="0"/>
          <w:bCs w:val="0"/>
          <w:color w:val="000000"/>
          <w:sz w:val="24"/>
          <w:szCs w:val="24"/>
          <w:lang w:val="en-US"/>
        </w:rPr>
        <w:t xml:space="preserve">, MSc; </w:t>
      </w:r>
      <w:r w:rsidRPr="00112DB6">
        <w:rPr>
          <w:rFonts w:cs="Times New Roman"/>
          <w:b w:val="0"/>
          <w:bCs w:val="0"/>
          <w:sz w:val="24"/>
          <w:szCs w:val="24"/>
          <w:lang w:val="en-US"/>
        </w:rPr>
        <w:t>Amanda Neville</w:t>
      </w:r>
      <w:r w:rsidRPr="00112DB6">
        <w:rPr>
          <w:rFonts w:cs="Times New Roman"/>
          <w:b w:val="0"/>
          <w:bCs w:val="0"/>
          <w:sz w:val="24"/>
          <w:szCs w:val="24"/>
          <w:vertAlign w:val="superscript"/>
          <w:lang w:val="en-US"/>
        </w:rPr>
        <w:t>14</w:t>
      </w:r>
      <w:r w:rsidRPr="00112DB6">
        <w:rPr>
          <w:rFonts w:cs="Times New Roman"/>
          <w:b w:val="0"/>
          <w:bCs w:val="0"/>
          <w:sz w:val="24"/>
          <w:szCs w:val="24"/>
          <w:lang w:val="en-US"/>
        </w:rPr>
        <w:t>, BSc; Daniel S Thayer</w:t>
      </w:r>
      <w:r w:rsidRPr="00112DB6">
        <w:rPr>
          <w:rFonts w:cs="Times New Roman"/>
          <w:b w:val="0"/>
          <w:bCs w:val="0"/>
          <w:sz w:val="24"/>
          <w:szCs w:val="24"/>
          <w:vertAlign w:val="superscript"/>
          <w:lang w:val="en-US"/>
        </w:rPr>
        <w:t>15</w:t>
      </w:r>
      <w:r w:rsidRPr="00112DB6">
        <w:rPr>
          <w:rFonts w:cs="Times New Roman"/>
          <w:b w:val="0"/>
          <w:bCs w:val="0"/>
          <w:sz w:val="24"/>
          <w:szCs w:val="24"/>
          <w:lang w:val="en-US"/>
        </w:rPr>
        <w:t xml:space="preserve">, </w:t>
      </w:r>
      <w:proofErr w:type="spellStart"/>
      <w:r w:rsidRPr="00112DB6">
        <w:rPr>
          <w:rFonts w:cs="Times New Roman"/>
          <w:b w:val="0"/>
          <w:bCs w:val="0"/>
          <w:sz w:val="24"/>
          <w:szCs w:val="24"/>
          <w:lang w:val="en-US"/>
        </w:rPr>
        <w:t>MDiv</w:t>
      </w:r>
      <w:proofErr w:type="spellEnd"/>
      <w:r w:rsidRPr="00112DB6">
        <w:rPr>
          <w:rFonts w:cs="Times New Roman"/>
          <w:b w:val="0"/>
          <w:bCs w:val="0"/>
          <w:sz w:val="24"/>
          <w:szCs w:val="24"/>
          <w:lang w:val="en-US"/>
        </w:rPr>
        <w:t>; David Tucker</w:t>
      </w:r>
      <w:r w:rsidRPr="00112DB6">
        <w:rPr>
          <w:rFonts w:cs="Times New Roman"/>
          <w:b w:val="0"/>
          <w:bCs w:val="0"/>
          <w:sz w:val="24"/>
          <w:szCs w:val="24"/>
          <w:vertAlign w:val="superscript"/>
          <w:lang w:val="en-US"/>
        </w:rPr>
        <w:t>16</w:t>
      </w:r>
      <w:r w:rsidRPr="00112DB6">
        <w:rPr>
          <w:rFonts w:cs="Times New Roman"/>
          <w:b w:val="0"/>
          <w:bCs w:val="0"/>
          <w:sz w:val="24"/>
          <w:szCs w:val="24"/>
          <w:lang w:val="en-US"/>
        </w:rPr>
        <w:t xml:space="preserve">, MPH; </w:t>
      </w:r>
      <w:r w:rsidRPr="00112DB6">
        <w:rPr>
          <w:rFonts w:cs="Times New Roman"/>
          <w:b w:val="0"/>
          <w:bCs w:val="0"/>
          <w:sz w:val="24"/>
          <w:szCs w:val="24"/>
          <w:shd w:val="clear" w:color="auto" w:fill="FFFFFF"/>
          <w:lang w:val="en-US"/>
        </w:rPr>
        <w:t>Stine K Urh</w:t>
      </w:r>
      <w:r w:rsidRPr="00112DB6">
        <w:rPr>
          <w:b w:val="0"/>
          <w:bCs w:val="0"/>
          <w:sz w:val="24"/>
          <w:szCs w:val="40"/>
          <w:shd w:val="clear" w:color="auto" w:fill="FFFFFF"/>
          <w:lang w:val="en-US"/>
        </w:rPr>
        <w:t>ø</w:t>
      </w:r>
      <w:r w:rsidRPr="00112DB6">
        <w:rPr>
          <w:rFonts w:cs="Times New Roman"/>
          <w:b w:val="0"/>
          <w:bCs w:val="0"/>
          <w:sz w:val="24"/>
          <w:szCs w:val="24"/>
          <w:shd w:val="clear" w:color="auto" w:fill="FFFFFF"/>
          <w:lang w:val="en-US"/>
        </w:rPr>
        <w:t>j</w:t>
      </w:r>
      <w:r w:rsidRPr="00112DB6">
        <w:rPr>
          <w:rFonts w:cs="Times New Roman"/>
          <w:b w:val="0"/>
          <w:bCs w:val="0"/>
          <w:sz w:val="24"/>
          <w:szCs w:val="24"/>
          <w:vertAlign w:val="superscript"/>
          <w:lang w:val="en-US"/>
        </w:rPr>
        <w:t>5</w:t>
      </w:r>
      <w:r w:rsidRPr="00112DB6">
        <w:rPr>
          <w:rFonts w:cs="Times New Roman"/>
          <w:b w:val="0"/>
          <w:bCs w:val="0"/>
          <w:sz w:val="24"/>
          <w:szCs w:val="24"/>
          <w:lang w:val="en-US"/>
        </w:rPr>
        <w:t>, PhD, MSc; Diana Wellesley</w:t>
      </w:r>
      <w:r w:rsidRPr="00112DB6">
        <w:rPr>
          <w:rFonts w:cs="Times New Roman"/>
          <w:b w:val="0"/>
          <w:bCs w:val="0"/>
          <w:sz w:val="24"/>
          <w:szCs w:val="24"/>
          <w:vertAlign w:val="superscript"/>
          <w:lang w:val="en-US"/>
        </w:rPr>
        <w:t>17</w:t>
      </w:r>
      <w:r w:rsidRPr="00112DB6">
        <w:rPr>
          <w:rFonts w:cs="Times New Roman"/>
          <w:b w:val="0"/>
          <w:bCs w:val="0"/>
          <w:sz w:val="24"/>
          <w:szCs w:val="24"/>
          <w:lang w:val="en-US"/>
        </w:rPr>
        <w:t xml:space="preserve">, </w:t>
      </w:r>
      <w:r w:rsidRPr="00112DB6">
        <w:rPr>
          <w:b w:val="0"/>
          <w:bCs w:val="0"/>
          <w:sz w:val="24"/>
          <w:szCs w:val="40"/>
          <w:lang w:val="en-US"/>
        </w:rPr>
        <w:t>FRCP;</w:t>
      </w:r>
      <w:r w:rsidRPr="00112DB6">
        <w:rPr>
          <w:rFonts w:cs="Times New Roman"/>
          <w:b w:val="0"/>
          <w:bCs w:val="0"/>
          <w:sz w:val="24"/>
          <w:szCs w:val="24"/>
          <w:lang w:val="en-US"/>
        </w:rPr>
        <w:t xml:space="preserve"> </w:t>
      </w:r>
      <w:r w:rsidRPr="00112DB6">
        <w:rPr>
          <w:rFonts w:cs="Times New Roman"/>
          <w:b w:val="0"/>
          <w:bCs w:val="0"/>
          <w:color w:val="201F1E"/>
          <w:sz w:val="24"/>
          <w:szCs w:val="40"/>
          <w:shd w:val="clear" w:color="auto" w:fill="FFFFFF"/>
          <w:lang w:val="en-US"/>
        </w:rPr>
        <w:t>Oscar Zurriaga</w:t>
      </w:r>
      <w:r w:rsidRPr="00112DB6">
        <w:rPr>
          <w:rFonts w:cs="Times New Roman"/>
          <w:b w:val="0"/>
          <w:bCs w:val="0"/>
          <w:color w:val="000000"/>
          <w:sz w:val="24"/>
          <w:szCs w:val="24"/>
          <w:vertAlign w:val="superscript"/>
          <w:lang w:val="en-US"/>
        </w:rPr>
        <w:t>7</w:t>
      </w:r>
      <w:r w:rsidRPr="00112DB6">
        <w:rPr>
          <w:rFonts w:cs="Times New Roman"/>
          <w:b w:val="0"/>
          <w:bCs w:val="0"/>
          <w:sz w:val="24"/>
          <w:szCs w:val="24"/>
          <w:lang w:val="en-US"/>
        </w:rPr>
        <w:t>, PhD; Joan K Morris</w:t>
      </w:r>
      <w:r w:rsidRPr="00112DB6">
        <w:rPr>
          <w:rFonts w:cs="Times New Roman"/>
          <w:b w:val="0"/>
          <w:bCs w:val="0"/>
          <w:sz w:val="24"/>
          <w:szCs w:val="24"/>
          <w:vertAlign w:val="superscript"/>
          <w:lang w:val="en-US"/>
        </w:rPr>
        <w:t>4</w:t>
      </w:r>
      <w:r w:rsidRPr="00112DB6">
        <w:rPr>
          <w:rFonts w:cs="Times New Roman"/>
          <w:b w:val="0"/>
          <w:bCs w:val="0"/>
          <w:sz w:val="24"/>
          <w:szCs w:val="24"/>
          <w:lang w:val="en-US"/>
        </w:rPr>
        <w:t>, PhD</w:t>
      </w:r>
      <w:proofErr w:type="gramEnd"/>
    </w:p>
    <w:p w14:paraId="71B4D0AB" w14:textId="77777777" w:rsidR="0064507B" w:rsidRPr="00112DB6" w:rsidRDefault="0064507B" w:rsidP="009E51EE">
      <w:pPr>
        <w:spacing w:before="240" w:after="0" w:line="240" w:lineRule="auto"/>
        <w:rPr>
          <w:rFonts w:cs="Times New Roman"/>
          <w:szCs w:val="24"/>
          <w:lang w:val="en-US"/>
        </w:rPr>
      </w:pPr>
      <w:r w:rsidRPr="00112DB6">
        <w:rPr>
          <w:rFonts w:cs="Times New Roman"/>
          <w:b/>
          <w:szCs w:val="24"/>
          <w:lang w:val="en-US"/>
        </w:rPr>
        <w:t>Affiliations</w:t>
      </w:r>
      <w:r w:rsidRPr="00112DB6">
        <w:rPr>
          <w:rFonts w:cs="Times New Roman"/>
          <w:szCs w:val="24"/>
          <w:lang w:val="en-US"/>
        </w:rPr>
        <w:t>:</w:t>
      </w:r>
    </w:p>
    <w:p w14:paraId="40B62FA6" w14:textId="77777777" w:rsidR="0064507B" w:rsidRPr="00112DB6" w:rsidRDefault="0064507B" w:rsidP="009E51EE">
      <w:pPr>
        <w:spacing w:before="0" w:after="0" w:line="240" w:lineRule="auto"/>
        <w:rPr>
          <w:rFonts w:cs="Times New Roman"/>
          <w:szCs w:val="24"/>
          <w:lang w:val="en-US"/>
        </w:rPr>
      </w:pPr>
      <w:r w:rsidRPr="00112DB6">
        <w:rPr>
          <w:rFonts w:cs="Times New Roman"/>
          <w:szCs w:val="24"/>
          <w:vertAlign w:val="superscript"/>
          <w:lang w:val="en-US"/>
        </w:rPr>
        <w:t>1</w:t>
      </w:r>
      <w:r w:rsidRPr="00112DB6">
        <w:rPr>
          <w:rFonts w:cs="Times New Roman"/>
          <w:szCs w:val="24"/>
          <w:lang w:val="en-US"/>
        </w:rPr>
        <w:t xml:space="preserve">Population Health Sciences Institute, Faculty of Medical Sciences, Newcastle University, Newcastle upon Tyne, United Kingdom </w:t>
      </w:r>
    </w:p>
    <w:p w14:paraId="284ED324" w14:textId="77777777" w:rsidR="0064507B" w:rsidRPr="00112DB6" w:rsidRDefault="0064507B" w:rsidP="009E51EE">
      <w:pPr>
        <w:pStyle w:val="NoSpacing"/>
        <w:spacing w:before="0" w:after="0" w:line="240" w:lineRule="auto"/>
        <w:rPr>
          <w:rFonts w:cs="Times New Roman"/>
          <w:b/>
          <w:sz w:val="24"/>
          <w:szCs w:val="24"/>
          <w:lang w:val="en-US"/>
        </w:rPr>
      </w:pPr>
      <w:r w:rsidRPr="00112DB6">
        <w:rPr>
          <w:rFonts w:cs="Times New Roman"/>
          <w:sz w:val="24"/>
          <w:szCs w:val="24"/>
          <w:vertAlign w:val="superscript"/>
          <w:lang w:val="en-US"/>
        </w:rPr>
        <w:t>2</w:t>
      </w:r>
      <w:r w:rsidRPr="00112DB6">
        <w:rPr>
          <w:rFonts w:cs="Times New Roman"/>
          <w:sz w:val="24"/>
          <w:szCs w:val="24"/>
          <w:lang w:val="en-US"/>
        </w:rPr>
        <w:t>Unit of Epidemiology of Rare diseases and Congenital anomalies, Institute of Clinical Physiology, National Research Council</w:t>
      </w:r>
      <w:r w:rsidRPr="00112DB6">
        <w:rPr>
          <w:rFonts w:eastAsia="Arial" w:cs="Times New Roman"/>
          <w:sz w:val="24"/>
          <w:szCs w:val="24"/>
          <w:lang w:val="en-US"/>
        </w:rPr>
        <w:t>, Pisa, Italy</w:t>
      </w:r>
      <w:r w:rsidRPr="00112DB6">
        <w:rPr>
          <w:rFonts w:cs="Times New Roman"/>
          <w:b/>
          <w:sz w:val="24"/>
          <w:szCs w:val="24"/>
          <w:lang w:val="en-US"/>
        </w:rPr>
        <w:t xml:space="preserve"> </w:t>
      </w:r>
    </w:p>
    <w:p w14:paraId="7306CBC4" w14:textId="77777777" w:rsidR="0064507B" w:rsidRPr="00112DB6" w:rsidRDefault="0064507B" w:rsidP="009E51EE">
      <w:pPr>
        <w:pStyle w:val="NoSpacing"/>
        <w:spacing w:before="0" w:after="0" w:line="240" w:lineRule="auto"/>
        <w:rPr>
          <w:rFonts w:cs="Times New Roman"/>
          <w:b/>
          <w:sz w:val="24"/>
          <w:szCs w:val="24"/>
          <w:lang w:val="en-US"/>
        </w:rPr>
      </w:pPr>
      <w:r w:rsidRPr="00112DB6">
        <w:rPr>
          <w:rFonts w:cs="Times New Roman"/>
          <w:sz w:val="24"/>
          <w:szCs w:val="24"/>
          <w:vertAlign w:val="superscript"/>
          <w:lang w:val="en-US"/>
        </w:rPr>
        <w:t>3</w:t>
      </w:r>
      <w:r w:rsidRPr="00112DB6">
        <w:rPr>
          <w:rFonts w:cs="Times New Roman"/>
          <w:sz w:val="24"/>
          <w:szCs w:val="24"/>
          <w:lang w:val="en-US"/>
        </w:rPr>
        <w:t xml:space="preserve">Fondazione Toscana Gabriele </w:t>
      </w:r>
      <w:proofErr w:type="spellStart"/>
      <w:r w:rsidRPr="00112DB6">
        <w:rPr>
          <w:rFonts w:cs="Times New Roman"/>
          <w:sz w:val="24"/>
          <w:szCs w:val="24"/>
          <w:lang w:val="en-US"/>
        </w:rPr>
        <w:t>Monasterio</w:t>
      </w:r>
      <w:proofErr w:type="spellEnd"/>
      <w:r w:rsidRPr="00112DB6">
        <w:rPr>
          <w:rFonts w:cs="Times New Roman"/>
          <w:sz w:val="24"/>
          <w:szCs w:val="24"/>
          <w:lang w:val="en-US"/>
        </w:rPr>
        <w:t>, Pisa, Italy.</w:t>
      </w:r>
    </w:p>
    <w:p w14:paraId="66C4072D" w14:textId="77777777" w:rsidR="0064507B" w:rsidRPr="00112DB6" w:rsidRDefault="0064507B" w:rsidP="009E51EE">
      <w:pPr>
        <w:pStyle w:val="NoSpacing"/>
        <w:spacing w:before="0" w:after="0" w:line="240" w:lineRule="auto"/>
        <w:rPr>
          <w:rFonts w:cs="Times New Roman"/>
          <w:sz w:val="24"/>
          <w:szCs w:val="24"/>
          <w:lang w:val="en-US"/>
        </w:rPr>
      </w:pPr>
      <w:r w:rsidRPr="00112DB6">
        <w:rPr>
          <w:rFonts w:cs="Times New Roman"/>
          <w:sz w:val="24"/>
          <w:szCs w:val="24"/>
          <w:vertAlign w:val="superscript"/>
          <w:lang w:val="en-US"/>
        </w:rPr>
        <w:t>4</w:t>
      </w:r>
      <w:r w:rsidRPr="00112DB6">
        <w:rPr>
          <w:rFonts w:cs="Times New Roman"/>
          <w:sz w:val="24"/>
          <w:szCs w:val="24"/>
          <w:lang w:val="en-US"/>
        </w:rPr>
        <w:t>Population Health Research Institute</w:t>
      </w:r>
      <w:r w:rsidRPr="00112DB6">
        <w:rPr>
          <w:rFonts w:cs="Times New Roman"/>
          <w:sz w:val="24"/>
          <w:szCs w:val="24"/>
          <w:lang w:val="en-US" w:eastAsia="en-GB"/>
        </w:rPr>
        <w:t>, St George’s, University of London, London, United Kingdom</w:t>
      </w:r>
    </w:p>
    <w:p w14:paraId="0954359F" w14:textId="77777777" w:rsidR="0064507B" w:rsidRPr="00112DB6" w:rsidRDefault="0064507B" w:rsidP="009E51EE">
      <w:pPr>
        <w:pStyle w:val="NoSpacing"/>
        <w:spacing w:before="0" w:after="0" w:line="240" w:lineRule="auto"/>
        <w:rPr>
          <w:rFonts w:cs="Times New Roman"/>
          <w:sz w:val="24"/>
          <w:szCs w:val="24"/>
          <w:lang w:val="en-US"/>
        </w:rPr>
      </w:pPr>
      <w:r w:rsidRPr="00112DB6">
        <w:rPr>
          <w:rFonts w:cs="Times New Roman"/>
          <w:sz w:val="24"/>
          <w:szCs w:val="24"/>
          <w:vertAlign w:val="superscript"/>
          <w:lang w:val="en-US"/>
        </w:rPr>
        <w:t>5</w:t>
      </w:r>
      <w:r w:rsidRPr="00112DB6">
        <w:rPr>
          <w:rFonts w:cs="Times New Roman"/>
          <w:sz w:val="24"/>
          <w:szCs w:val="24"/>
          <w:lang w:val="en-US"/>
        </w:rPr>
        <w:t xml:space="preserve">Pediatric Department, Hospital </w:t>
      </w:r>
      <w:proofErr w:type="spellStart"/>
      <w:r w:rsidRPr="00112DB6">
        <w:rPr>
          <w:rFonts w:cs="Times New Roman"/>
          <w:sz w:val="24"/>
          <w:szCs w:val="24"/>
          <w:lang w:val="en-US"/>
        </w:rPr>
        <w:t>Lillebaelt</w:t>
      </w:r>
      <w:proofErr w:type="spellEnd"/>
      <w:r w:rsidRPr="00112DB6">
        <w:rPr>
          <w:rFonts w:cs="Times New Roman"/>
          <w:sz w:val="24"/>
          <w:szCs w:val="24"/>
          <w:lang w:val="en-US"/>
        </w:rPr>
        <w:t>, Kolding, Denmark</w:t>
      </w:r>
    </w:p>
    <w:p w14:paraId="7E99DA4B" w14:textId="77777777" w:rsidR="0064507B" w:rsidRPr="00112DB6" w:rsidRDefault="0064507B" w:rsidP="009E51EE">
      <w:pPr>
        <w:pStyle w:val="NoSpacing"/>
        <w:spacing w:before="0" w:after="0" w:line="240" w:lineRule="auto"/>
        <w:rPr>
          <w:rFonts w:cs="Times New Roman"/>
          <w:sz w:val="24"/>
          <w:szCs w:val="24"/>
          <w:lang w:val="en-US" w:eastAsia="en-GB"/>
        </w:rPr>
      </w:pPr>
      <w:r w:rsidRPr="00112DB6">
        <w:rPr>
          <w:rFonts w:cs="Times New Roman"/>
          <w:sz w:val="24"/>
          <w:szCs w:val="24"/>
          <w:vertAlign w:val="superscript"/>
          <w:lang w:val="en-US"/>
        </w:rPr>
        <w:t>6</w:t>
      </w:r>
      <w:r w:rsidRPr="00112DB6">
        <w:rPr>
          <w:rFonts w:cs="Times New Roman"/>
          <w:sz w:val="24"/>
          <w:szCs w:val="24"/>
          <w:lang w:val="en-US"/>
        </w:rPr>
        <w:t>Faculty of Life &amp; Health Sciences</w:t>
      </w:r>
      <w:r w:rsidRPr="00112DB6">
        <w:rPr>
          <w:rFonts w:cs="Times New Roman"/>
          <w:color w:val="4A4A49"/>
          <w:sz w:val="24"/>
          <w:szCs w:val="24"/>
          <w:lang w:val="en-US"/>
        </w:rPr>
        <w:t xml:space="preserve">, </w:t>
      </w:r>
      <w:r w:rsidRPr="00112DB6">
        <w:rPr>
          <w:rFonts w:cs="Times New Roman"/>
          <w:sz w:val="24"/>
          <w:szCs w:val="24"/>
          <w:lang w:val="en-US" w:eastAsia="en-GB"/>
        </w:rPr>
        <w:t>Ulster University, Northern Ireland, United Kingdom</w:t>
      </w:r>
    </w:p>
    <w:p w14:paraId="6F585EA9" w14:textId="77777777" w:rsidR="0064507B" w:rsidRPr="00112DB6" w:rsidRDefault="0064507B" w:rsidP="009E51EE">
      <w:pPr>
        <w:pStyle w:val="CommentText"/>
        <w:spacing w:before="0" w:after="0"/>
        <w:rPr>
          <w:rFonts w:cs="Times New Roman"/>
          <w:sz w:val="24"/>
          <w:szCs w:val="24"/>
          <w:lang w:val="en-US" w:eastAsia="en-GB"/>
        </w:rPr>
      </w:pPr>
      <w:r w:rsidRPr="00112DB6">
        <w:rPr>
          <w:rFonts w:cs="Times New Roman"/>
          <w:sz w:val="24"/>
          <w:szCs w:val="24"/>
          <w:vertAlign w:val="superscript"/>
          <w:lang w:val="en-US"/>
        </w:rPr>
        <w:t>7</w:t>
      </w:r>
      <w:r w:rsidRPr="00112DB6">
        <w:rPr>
          <w:rFonts w:cs="Times New Roman"/>
          <w:sz w:val="24"/>
          <w:szCs w:val="24"/>
          <w:lang w:val="en-US" w:eastAsia="en-GB"/>
        </w:rPr>
        <w:t>Rare Diseases Research Unit, Foundation for the Promotion of Health and Biomedical Research in the Valencian Region, Valencia, Spain</w:t>
      </w:r>
    </w:p>
    <w:p w14:paraId="2C347D7F" w14:textId="77777777" w:rsidR="0064507B" w:rsidRPr="00112DB6" w:rsidRDefault="0064507B" w:rsidP="009E51EE">
      <w:pPr>
        <w:pStyle w:val="NoSpacing"/>
        <w:spacing w:before="0" w:after="0" w:line="240" w:lineRule="auto"/>
        <w:rPr>
          <w:rFonts w:cs="Times New Roman"/>
          <w:sz w:val="24"/>
          <w:szCs w:val="24"/>
          <w:lang w:val="en-US" w:eastAsia="en-GB"/>
        </w:rPr>
      </w:pPr>
      <w:r w:rsidRPr="00112DB6">
        <w:rPr>
          <w:rFonts w:cs="Times New Roman"/>
          <w:color w:val="212121"/>
          <w:sz w:val="24"/>
          <w:szCs w:val="24"/>
          <w:shd w:val="clear" w:color="auto" w:fill="FFFFFF"/>
          <w:vertAlign w:val="superscript"/>
          <w:lang w:val="en-US"/>
        </w:rPr>
        <w:t>8</w:t>
      </w:r>
      <w:r w:rsidRPr="00112DB6">
        <w:rPr>
          <w:rFonts w:cs="Times New Roman"/>
          <w:color w:val="212121"/>
          <w:sz w:val="24"/>
          <w:szCs w:val="24"/>
          <w:shd w:val="clear" w:color="auto" w:fill="FFFFFF"/>
          <w:lang w:val="en-US"/>
        </w:rPr>
        <w:t xml:space="preserve">Department of Genetics, </w:t>
      </w:r>
      <w:r w:rsidRPr="00112DB6">
        <w:rPr>
          <w:sz w:val="24"/>
          <w:szCs w:val="24"/>
          <w:lang w:val="en-US"/>
        </w:rPr>
        <w:t>University Medical Center Groningen</w:t>
      </w:r>
      <w:r w:rsidRPr="00112DB6">
        <w:rPr>
          <w:rFonts w:cs="Times New Roman"/>
          <w:color w:val="212121"/>
          <w:sz w:val="24"/>
          <w:szCs w:val="24"/>
          <w:shd w:val="clear" w:color="auto" w:fill="FFFFFF"/>
          <w:lang w:val="en-US"/>
        </w:rPr>
        <w:t xml:space="preserve">, University of Groningen, Groningen, </w:t>
      </w:r>
      <w:proofErr w:type="gramStart"/>
      <w:r w:rsidRPr="00112DB6">
        <w:rPr>
          <w:rFonts w:cs="Times New Roman"/>
          <w:sz w:val="24"/>
          <w:szCs w:val="24"/>
          <w:lang w:val="en-US" w:eastAsia="en-GB"/>
        </w:rPr>
        <w:t>The</w:t>
      </w:r>
      <w:proofErr w:type="gramEnd"/>
      <w:r w:rsidRPr="00112DB6">
        <w:rPr>
          <w:rFonts w:cs="Times New Roman"/>
          <w:sz w:val="24"/>
          <w:szCs w:val="24"/>
          <w:lang w:val="en-US" w:eastAsia="en-GB"/>
        </w:rPr>
        <w:t xml:space="preserve"> Netherlands</w:t>
      </w:r>
    </w:p>
    <w:p w14:paraId="74BF2D9A" w14:textId="77777777" w:rsidR="0064507B" w:rsidRPr="00112DB6" w:rsidRDefault="0064507B" w:rsidP="009E51EE">
      <w:pPr>
        <w:pStyle w:val="NoSpacing"/>
        <w:spacing w:before="0" w:after="0" w:line="240" w:lineRule="auto"/>
        <w:rPr>
          <w:rFonts w:cs="Times New Roman"/>
          <w:bCs/>
          <w:sz w:val="24"/>
          <w:szCs w:val="24"/>
          <w:lang w:val="en-US"/>
        </w:rPr>
      </w:pPr>
      <w:r w:rsidRPr="00112DB6">
        <w:rPr>
          <w:rFonts w:cs="Times New Roman"/>
          <w:sz w:val="24"/>
          <w:szCs w:val="24"/>
          <w:vertAlign w:val="superscript"/>
          <w:lang w:val="en-US"/>
        </w:rPr>
        <w:t>9</w:t>
      </w:r>
      <w:r w:rsidRPr="00112DB6">
        <w:rPr>
          <w:rFonts w:cs="Times New Roman"/>
          <w:color w:val="404040"/>
          <w:sz w:val="24"/>
          <w:szCs w:val="24"/>
          <w:lang w:val="en-US"/>
        </w:rPr>
        <w:t xml:space="preserve">Malta Congenital Anomalies Registry, Department of Health Information and Research, </w:t>
      </w:r>
      <w:r w:rsidRPr="00112DB6">
        <w:rPr>
          <w:rFonts w:cs="Times New Roman"/>
          <w:bCs/>
          <w:sz w:val="24"/>
          <w:szCs w:val="24"/>
          <w:lang w:val="en-US"/>
        </w:rPr>
        <w:t>Malta</w:t>
      </w:r>
    </w:p>
    <w:p w14:paraId="65455D30" w14:textId="77777777" w:rsidR="0064507B" w:rsidRPr="00112DB6" w:rsidRDefault="0064507B" w:rsidP="009E51EE">
      <w:pPr>
        <w:pStyle w:val="NoSpacing"/>
        <w:spacing w:before="0" w:after="0" w:line="240" w:lineRule="auto"/>
        <w:rPr>
          <w:rFonts w:cs="Times New Roman"/>
          <w:bCs/>
          <w:sz w:val="24"/>
          <w:szCs w:val="24"/>
          <w:lang w:val="en-US"/>
        </w:rPr>
      </w:pPr>
      <w:r w:rsidRPr="00112DB6">
        <w:rPr>
          <w:rFonts w:cs="Times New Roman"/>
          <w:sz w:val="24"/>
          <w:szCs w:val="24"/>
          <w:vertAlign w:val="superscript"/>
          <w:lang w:val="en-US"/>
        </w:rPr>
        <w:t>10</w:t>
      </w:r>
      <w:r w:rsidRPr="00112DB6">
        <w:rPr>
          <w:rFonts w:cs="Times New Roman"/>
          <w:color w:val="212121"/>
          <w:sz w:val="24"/>
          <w:szCs w:val="24"/>
          <w:shd w:val="clear" w:color="auto" w:fill="FFFFFF"/>
          <w:lang w:val="en-US"/>
        </w:rPr>
        <w:t>Information Services Department, THL Finnish Institute for Health and Welfare. Helsinki,</w:t>
      </w:r>
      <w:r w:rsidRPr="00112DB6">
        <w:rPr>
          <w:rFonts w:cs="Times New Roman"/>
          <w:color w:val="4D5156"/>
          <w:spacing w:val="4"/>
          <w:sz w:val="24"/>
          <w:szCs w:val="24"/>
          <w:shd w:val="clear" w:color="auto" w:fill="FFFFFF"/>
          <w:lang w:val="en-US"/>
        </w:rPr>
        <w:t xml:space="preserve"> </w:t>
      </w:r>
      <w:r w:rsidRPr="00112DB6">
        <w:rPr>
          <w:rFonts w:cs="Times New Roman"/>
          <w:bCs/>
          <w:sz w:val="24"/>
          <w:szCs w:val="24"/>
          <w:lang w:val="en-US"/>
        </w:rPr>
        <w:t>Finland</w:t>
      </w:r>
    </w:p>
    <w:p w14:paraId="3114D82D" w14:textId="77777777" w:rsidR="0064507B" w:rsidRPr="00112DB6" w:rsidRDefault="0064507B" w:rsidP="009E51EE">
      <w:pPr>
        <w:pStyle w:val="NoSpacing"/>
        <w:spacing w:before="0" w:after="0" w:line="240" w:lineRule="auto"/>
        <w:rPr>
          <w:rFonts w:cs="Times New Roman"/>
          <w:bCs/>
          <w:sz w:val="24"/>
          <w:szCs w:val="24"/>
          <w:lang w:val="en-US"/>
        </w:rPr>
      </w:pPr>
      <w:r w:rsidRPr="00112DB6">
        <w:rPr>
          <w:rFonts w:cs="Times New Roman"/>
          <w:sz w:val="24"/>
          <w:szCs w:val="24"/>
          <w:vertAlign w:val="superscript"/>
          <w:lang w:val="en-US"/>
        </w:rPr>
        <w:t>11</w:t>
      </w:r>
      <w:r w:rsidRPr="00112DB6">
        <w:rPr>
          <w:rFonts w:cs="Times New Roman"/>
          <w:color w:val="201F1E"/>
          <w:sz w:val="24"/>
          <w:szCs w:val="24"/>
          <w:shd w:val="clear" w:color="auto" w:fill="FFFFFF"/>
          <w:lang w:val="en-US"/>
        </w:rPr>
        <w:t>Université de Paris, Center of Research in Epidemiology and Statistics (CRESS), Obstetrical, Perinatal and Pediatric Epidemiology Research Team (</w:t>
      </w:r>
      <w:proofErr w:type="spellStart"/>
      <w:r w:rsidRPr="00112DB6">
        <w:rPr>
          <w:rFonts w:cs="Times New Roman"/>
          <w:color w:val="201F1E"/>
          <w:sz w:val="24"/>
          <w:szCs w:val="24"/>
          <w:shd w:val="clear" w:color="auto" w:fill="FFFFFF"/>
          <w:lang w:val="en-US"/>
        </w:rPr>
        <w:t>EPOPé</w:t>
      </w:r>
      <w:proofErr w:type="spellEnd"/>
      <w:r w:rsidRPr="00112DB6">
        <w:rPr>
          <w:rFonts w:cs="Times New Roman"/>
          <w:color w:val="201F1E"/>
          <w:sz w:val="24"/>
          <w:szCs w:val="24"/>
          <w:shd w:val="clear" w:color="auto" w:fill="FFFFFF"/>
          <w:lang w:val="en-US"/>
        </w:rPr>
        <w:t>), INSERM, INRA, Paris, France</w:t>
      </w:r>
    </w:p>
    <w:p w14:paraId="07B5F2BE" w14:textId="77777777" w:rsidR="0064507B" w:rsidRPr="00112DB6" w:rsidRDefault="0064507B" w:rsidP="009E51EE">
      <w:pPr>
        <w:pStyle w:val="NoSpacing"/>
        <w:spacing w:before="0" w:after="0" w:line="240" w:lineRule="auto"/>
        <w:rPr>
          <w:rFonts w:cs="Times New Roman"/>
          <w:bCs/>
          <w:sz w:val="24"/>
          <w:szCs w:val="24"/>
          <w:lang w:val="en-US"/>
        </w:rPr>
      </w:pPr>
      <w:r w:rsidRPr="00112DB6">
        <w:rPr>
          <w:rFonts w:cs="Times New Roman"/>
          <w:sz w:val="24"/>
          <w:szCs w:val="24"/>
          <w:vertAlign w:val="superscript"/>
          <w:lang w:val="en-US"/>
        </w:rPr>
        <w:t>12</w:t>
      </w:r>
      <w:r w:rsidRPr="00112DB6">
        <w:rPr>
          <w:rFonts w:cs="Times New Roman"/>
          <w:color w:val="404040"/>
          <w:sz w:val="24"/>
          <w:szCs w:val="24"/>
          <w:lang w:val="en-US"/>
        </w:rPr>
        <w:t xml:space="preserve">Department of Global Public Health and Primary Care, University of Bergen, Bergen, </w:t>
      </w:r>
      <w:r w:rsidRPr="00112DB6">
        <w:rPr>
          <w:rFonts w:cs="Times New Roman"/>
          <w:bCs/>
          <w:sz w:val="24"/>
          <w:szCs w:val="24"/>
          <w:lang w:val="en-US"/>
        </w:rPr>
        <w:t>Norway</w:t>
      </w:r>
    </w:p>
    <w:p w14:paraId="6A2E25EF" w14:textId="77777777" w:rsidR="0064507B" w:rsidRPr="00112DB6" w:rsidRDefault="0064507B" w:rsidP="009E51EE">
      <w:pPr>
        <w:pStyle w:val="NoSpacing"/>
        <w:spacing w:before="0" w:after="0" w:line="240" w:lineRule="auto"/>
        <w:rPr>
          <w:rFonts w:cs="Times New Roman"/>
          <w:bCs/>
          <w:sz w:val="24"/>
          <w:szCs w:val="24"/>
          <w:lang w:val="en-US"/>
        </w:rPr>
      </w:pPr>
      <w:r w:rsidRPr="00112DB6">
        <w:rPr>
          <w:rFonts w:cs="Times New Roman"/>
          <w:sz w:val="24"/>
          <w:szCs w:val="24"/>
          <w:vertAlign w:val="superscript"/>
          <w:lang w:val="en-US"/>
        </w:rPr>
        <w:t>13</w:t>
      </w:r>
      <w:r w:rsidRPr="00112DB6">
        <w:rPr>
          <w:rFonts w:cs="Times New Roman"/>
          <w:bCs/>
          <w:sz w:val="24"/>
          <w:szCs w:val="24"/>
          <w:lang w:val="en-US"/>
        </w:rPr>
        <w:t>Division of Mental and Physical Health, Norwegian Institute of Public Health, Bergen, Norway</w:t>
      </w:r>
    </w:p>
    <w:p w14:paraId="07722389" w14:textId="77777777" w:rsidR="0064507B" w:rsidRPr="00112DB6" w:rsidRDefault="0064507B" w:rsidP="009E51EE">
      <w:pPr>
        <w:shd w:val="clear" w:color="auto" w:fill="FFFFFF"/>
        <w:spacing w:before="0" w:after="0" w:line="240" w:lineRule="auto"/>
        <w:textAlignment w:val="baseline"/>
        <w:rPr>
          <w:rFonts w:eastAsia="Times New Roman" w:cs="Times New Roman"/>
          <w:color w:val="201F1E"/>
          <w:szCs w:val="24"/>
          <w:lang w:val="en-US" w:eastAsia="en-GB"/>
        </w:rPr>
      </w:pPr>
      <w:r w:rsidRPr="00112DB6">
        <w:rPr>
          <w:rFonts w:cs="Times New Roman"/>
          <w:szCs w:val="24"/>
          <w:vertAlign w:val="superscript"/>
          <w:lang w:val="en-US"/>
        </w:rPr>
        <w:t>14</w:t>
      </w:r>
      <w:r w:rsidRPr="00112DB6">
        <w:rPr>
          <w:rFonts w:eastAsia="Times New Roman" w:cs="Times New Roman"/>
          <w:color w:val="201F1E"/>
          <w:szCs w:val="24"/>
          <w:lang w:val="en-US" w:eastAsia="en-GB"/>
        </w:rPr>
        <w:t>Center for Clinical and Epidemiological Research, University of Ferrara, Ferrara, Italy</w:t>
      </w:r>
    </w:p>
    <w:p w14:paraId="40C9ECDA" w14:textId="77777777" w:rsidR="0064507B" w:rsidRPr="00112DB6" w:rsidRDefault="0064507B" w:rsidP="009E51EE">
      <w:pPr>
        <w:pStyle w:val="NoSpacing"/>
        <w:spacing w:before="0" w:after="0" w:line="240" w:lineRule="auto"/>
        <w:rPr>
          <w:rFonts w:cs="Times New Roman"/>
          <w:sz w:val="24"/>
          <w:szCs w:val="24"/>
          <w:lang w:val="en-US" w:eastAsia="en-GB"/>
        </w:rPr>
      </w:pPr>
      <w:r w:rsidRPr="00112DB6">
        <w:rPr>
          <w:rFonts w:cs="Times New Roman"/>
          <w:sz w:val="24"/>
          <w:szCs w:val="24"/>
          <w:vertAlign w:val="superscript"/>
          <w:lang w:val="en-US"/>
        </w:rPr>
        <w:t>15</w:t>
      </w:r>
      <w:r w:rsidRPr="00112DB6">
        <w:rPr>
          <w:sz w:val="24"/>
          <w:szCs w:val="24"/>
          <w:lang w:val="en-US"/>
        </w:rPr>
        <w:t>Faculty of Health and Life Science</w:t>
      </w:r>
      <w:r w:rsidRPr="00112DB6">
        <w:rPr>
          <w:rFonts w:cs="Times New Roman"/>
          <w:color w:val="404040"/>
          <w:sz w:val="24"/>
          <w:szCs w:val="24"/>
          <w:lang w:val="en-US"/>
        </w:rPr>
        <w:t xml:space="preserve">, Swansea University, Swansea, </w:t>
      </w:r>
      <w:r w:rsidRPr="00112DB6">
        <w:rPr>
          <w:rFonts w:cs="Times New Roman"/>
          <w:sz w:val="24"/>
          <w:szCs w:val="24"/>
          <w:lang w:val="en-US" w:eastAsia="en-GB"/>
        </w:rPr>
        <w:t>United Kingdom</w:t>
      </w:r>
    </w:p>
    <w:p w14:paraId="1D9035DF" w14:textId="77777777" w:rsidR="0064507B" w:rsidRPr="00112DB6" w:rsidRDefault="0064507B" w:rsidP="009E51EE">
      <w:pPr>
        <w:pStyle w:val="NoSpacing"/>
        <w:spacing w:before="0" w:after="0" w:line="240" w:lineRule="auto"/>
        <w:rPr>
          <w:rFonts w:cs="Times New Roman"/>
          <w:sz w:val="24"/>
          <w:szCs w:val="24"/>
          <w:lang w:val="en-US" w:eastAsia="en-GB"/>
        </w:rPr>
      </w:pPr>
      <w:r w:rsidRPr="00112DB6">
        <w:rPr>
          <w:rFonts w:cs="Times New Roman"/>
          <w:sz w:val="24"/>
          <w:szCs w:val="24"/>
          <w:vertAlign w:val="superscript"/>
          <w:lang w:val="en-US"/>
        </w:rPr>
        <w:t>16</w:t>
      </w:r>
      <w:r w:rsidRPr="00112DB6">
        <w:rPr>
          <w:rFonts w:cs="Times New Roman"/>
          <w:color w:val="404040"/>
          <w:sz w:val="24"/>
          <w:szCs w:val="24"/>
          <w:lang w:val="en-US"/>
        </w:rPr>
        <w:t xml:space="preserve">Public Health Wales, Swansea, </w:t>
      </w:r>
      <w:r w:rsidRPr="00112DB6">
        <w:rPr>
          <w:rFonts w:cs="Times New Roman"/>
          <w:sz w:val="24"/>
          <w:szCs w:val="24"/>
          <w:lang w:val="en-US" w:eastAsia="en-GB"/>
        </w:rPr>
        <w:t>United Kingdom</w:t>
      </w:r>
    </w:p>
    <w:p w14:paraId="406F7B36" w14:textId="77777777" w:rsidR="0064507B" w:rsidRPr="00112DB6" w:rsidRDefault="0064507B" w:rsidP="009E51EE">
      <w:pPr>
        <w:pStyle w:val="NoSpacing"/>
        <w:spacing w:before="0" w:after="0" w:line="240" w:lineRule="auto"/>
        <w:rPr>
          <w:rFonts w:cs="Times New Roman"/>
          <w:sz w:val="24"/>
          <w:szCs w:val="24"/>
          <w:lang w:val="en-US" w:eastAsia="en-GB"/>
        </w:rPr>
      </w:pPr>
      <w:r w:rsidRPr="00112DB6">
        <w:rPr>
          <w:rFonts w:cs="Times New Roman"/>
          <w:sz w:val="24"/>
          <w:szCs w:val="24"/>
          <w:vertAlign w:val="superscript"/>
          <w:lang w:val="en-US"/>
        </w:rPr>
        <w:t>17</w:t>
      </w:r>
      <w:r w:rsidRPr="00112DB6">
        <w:rPr>
          <w:rFonts w:cs="Times New Roman"/>
          <w:color w:val="404040"/>
          <w:sz w:val="24"/>
          <w:szCs w:val="24"/>
          <w:lang w:val="en-US"/>
        </w:rPr>
        <w:t>Wessex Clinical Genetics Service, Princess Anne Hospital, Southampton, United Kingdom</w:t>
      </w:r>
    </w:p>
    <w:p w14:paraId="0FD6A03C" w14:textId="77777777" w:rsidR="0064507B" w:rsidRPr="00112DB6" w:rsidRDefault="0064507B" w:rsidP="009E51EE">
      <w:pPr>
        <w:pStyle w:val="NoSpacing"/>
        <w:spacing w:before="0" w:after="0" w:line="480" w:lineRule="auto"/>
        <w:rPr>
          <w:rFonts w:cs="Times New Roman"/>
          <w:sz w:val="24"/>
          <w:szCs w:val="24"/>
          <w:lang w:val="en-US"/>
        </w:rPr>
      </w:pPr>
    </w:p>
    <w:p w14:paraId="37CDDA91" w14:textId="77777777" w:rsidR="0064507B" w:rsidRPr="00112DB6" w:rsidRDefault="0064507B" w:rsidP="009E51EE">
      <w:pPr>
        <w:pStyle w:val="NoSpacing"/>
        <w:spacing w:before="0" w:after="0" w:line="240" w:lineRule="auto"/>
        <w:rPr>
          <w:rStyle w:val="Hyperlink"/>
          <w:rFonts w:cs="Times New Roman"/>
          <w:bCs/>
          <w:sz w:val="24"/>
          <w:szCs w:val="24"/>
          <w:lang w:val="en-US" w:eastAsia="en-GB"/>
        </w:rPr>
      </w:pPr>
      <w:r w:rsidRPr="00112DB6">
        <w:rPr>
          <w:rFonts w:cs="Times New Roman"/>
          <w:b/>
          <w:sz w:val="24"/>
          <w:szCs w:val="24"/>
          <w:lang w:val="en-US"/>
        </w:rPr>
        <w:t>Address correspondence to:</w:t>
      </w:r>
      <w:r w:rsidRPr="00112DB6">
        <w:rPr>
          <w:rFonts w:cs="Times New Roman"/>
          <w:sz w:val="24"/>
          <w:szCs w:val="24"/>
          <w:lang w:val="en-US"/>
        </w:rPr>
        <w:t xml:space="preserve"> Svetlana V Glinianaia, Population Health Sciences Institute, Faculty of Medical Sciences, Newcastle University, </w:t>
      </w:r>
      <w:proofErr w:type="spellStart"/>
      <w:r w:rsidRPr="00112DB6">
        <w:rPr>
          <w:rFonts w:cs="Times New Roman"/>
          <w:sz w:val="24"/>
          <w:szCs w:val="24"/>
          <w:lang w:val="en-US"/>
        </w:rPr>
        <w:t>Baddiley</w:t>
      </w:r>
      <w:proofErr w:type="spellEnd"/>
      <w:r w:rsidRPr="00112DB6">
        <w:rPr>
          <w:rFonts w:cs="Times New Roman"/>
          <w:sz w:val="24"/>
          <w:szCs w:val="24"/>
          <w:lang w:val="en-US"/>
        </w:rPr>
        <w:t xml:space="preserve">-Clark Building, Richardson Road, Newcastle upon Tyne, NE2 4AX, United Kingdom; </w:t>
      </w:r>
      <w:r w:rsidRPr="00112DB6">
        <w:rPr>
          <w:rFonts w:cs="Times New Roman"/>
          <w:sz w:val="24"/>
          <w:szCs w:val="24"/>
          <w:lang w:val="en-US" w:eastAsia="en-GB"/>
        </w:rPr>
        <w:t>Tel:</w:t>
      </w:r>
      <w:r w:rsidRPr="00112DB6">
        <w:rPr>
          <w:rFonts w:cs="Times New Roman"/>
          <w:b/>
          <w:sz w:val="24"/>
          <w:szCs w:val="24"/>
          <w:lang w:val="en-US" w:eastAsia="en-GB"/>
        </w:rPr>
        <w:t xml:space="preserve"> </w:t>
      </w:r>
      <w:r w:rsidRPr="00112DB6">
        <w:rPr>
          <w:rFonts w:cs="Times New Roman"/>
          <w:sz w:val="24"/>
          <w:szCs w:val="24"/>
          <w:lang w:val="en-US" w:eastAsia="en-GB"/>
        </w:rPr>
        <w:t xml:space="preserve"> </w:t>
      </w:r>
      <w:r w:rsidRPr="00112DB6">
        <w:rPr>
          <w:rFonts w:cs="Times New Roman"/>
          <w:sz w:val="24"/>
          <w:szCs w:val="24"/>
          <w:lang w:val="en-US"/>
        </w:rPr>
        <w:t>+44 (0) 191 208 5891,</w:t>
      </w:r>
      <w:r w:rsidRPr="00112DB6">
        <w:rPr>
          <w:rFonts w:cs="Times New Roman"/>
          <w:sz w:val="24"/>
          <w:szCs w:val="24"/>
          <w:lang w:val="en-US" w:eastAsia="en-GB"/>
        </w:rPr>
        <w:t xml:space="preserve"> [</w:t>
      </w:r>
      <w:hyperlink r:id="rId7" w:history="1">
        <w:r w:rsidRPr="00112DB6">
          <w:rPr>
            <w:rStyle w:val="Hyperlink"/>
            <w:rFonts w:cs="Times New Roman"/>
            <w:bCs/>
            <w:sz w:val="24"/>
            <w:szCs w:val="24"/>
            <w:lang w:val="en-US" w:eastAsia="en-GB"/>
          </w:rPr>
          <w:t>svetlana.glinianaia@ncl.ac.uk</w:t>
        </w:r>
      </w:hyperlink>
      <w:r w:rsidRPr="00112DB6">
        <w:rPr>
          <w:rStyle w:val="Hyperlink"/>
          <w:rFonts w:cs="Times New Roman"/>
          <w:bCs/>
          <w:sz w:val="24"/>
          <w:szCs w:val="24"/>
          <w:lang w:val="en-US" w:eastAsia="en-GB"/>
        </w:rPr>
        <w:t>].</w:t>
      </w:r>
    </w:p>
    <w:p w14:paraId="6F46AC10" w14:textId="77777777" w:rsidR="0064507B" w:rsidRPr="00112DB6" w:rsidRDefault="0064507B" w:rsidP="009E51EE">
      <w:pPr>
        <w:pStyle w:val="Default"/>
        <w:spacing w:line="480" w:lineRule="auto"/>
        <w:rPr>
          <w:rFonts w:ascii="Times New Roman" w:eastAsiaTheme="minorEastAsia" w:hAnsi="Times New Roman" w:cs="Times New Roman"/>
          <w:b/>
          <w:bCs/>
          <w:iCs/>
          <w:color w:val="auto"/>
          <w:lang w:val="en-US"/>
        </w:rPr>
      </w:pPr>
    </w:p>
    <w:p w14:paraId="0543D548" w14:textId="0A02010E" w:rsidR="0064507B" w:rsidRPr="00112DB6" w:rsidRDefault="0064507B" w:rsidP="009E51EE">
      <w:pPr>
        <w:pStyle w:val="Default"/>
        <w:rPr>
          <w:rFonts w:ascii="Times New Roman" w:eastAsiaTheme="minorEastAsia" w:hAnsi="Times New Roman" w:cs="Times New Roman"/>
          <w:b/>
          <w:bCs/>
          <w:iCs/>
          <w:color w:val="auto"/>
          <w:lang w:val="en-US"/>
        </w:rPr>
      </w:pPr>
      <w:r w:rsidRPr="00112DB6">
        <w:rPr>
          <w:rFonts w:ascii="Times New Roman" w:eastAsiaTheme="minorEastAsia" w:hAnsi="Times New Roman" w:cs="Times New Roman"/>
          <w:b/>
          <w:bCs/>
          <w:iCs/>
          <w:color w:val="auto"/>
          <w:lang w:val="en-US"/>
        </w:rPr>
        <w:t xml:space="preserve">Short title: </w:t>
      </w:r>
      <w:r w:rsidR="008624FF" w:rsidRPr="00593F7F">
        <w:rPr>
          <w:rFonts w:ascii="Times New Roman" w:eastAsiaTheme="minorEastAsia" w:hAnsi="Times New Roman" w:cs="Times New Roman"/>
          <w:iCs/>
          <w:color w:val="auto"/>
          <w:highlight w:val="yellow"/>
          <w:lang w:val="en-US"/>
        </w:rPr>
        <w:t>S</w:t>
      </w:r>
      <w:r w:rsidRPr="00593F7F">
        <w:rPr>
          <w:rFonts w:ascii="Times New Roman" w:eastAsiaTheme="minorEastAsia" w:hAnsi="Times New Roman" w:cs="Times New Roman"/>
          <w:iCs/>
          <w:color w:val="auto"/>
          <w:highlight w:val="yellow"/>
          <w:lang w:val="en-US"/>
        </w:rPr>
        <w:t>urvival</w:t>
      </w:r>
      <w:r w:rsidRPr="00112DB6">
        <w:rPr>
          <w:rFonts w:ascii="Times New Roman" w:eastAsiaTheme="minorEastAsia" w:hAnsi="Times New Roman" w:cs="Times New Roman"/>
          <w:iCs/>
          <w:color w:val="auto"/>
          <w:lang w:val="en-US"/>
        </w:rPr>
        <w:t xml:space="preserve"> of </w:t>
      </w:r>
      <w:r w:rsidR="008624FF">
        <w:rPr>
          <w:rFonts w:ascii="Times New Roman" w:eastAsiaTheme="minorEastAsia" w:hAnsi="Times New Roman" w:cs="Times New Roman"/>
          <w:iCs/>
          <w:color w:val="auto"/>
          <w:lang w:val="en-US"/>
        </w:rPr>
        <w:t>C</w:t>
      </w:r>
      <w:r w:rsidRPr="00112DB6">
        <w:rPr>
          <w:rFonts w:ascii="Times New Roman" w:eastAsiaTheme="minorEastAsia" w:hAnsi="Times New Roman" w:cs="Times New Roman"/>
          <w:iCs/>
          <w:color w:val="auto"/>
          <w:lang w:val="en-US"/>
        </w:rPr>
        <w:t xml:space="preserve">hildren with </w:t>
      </w:r>
      <w:r w:rsidR="008624FF">
        <w:rPr>
          <w:rFonts w:ascii="Times New Roman" w:eastAsiaTheme="minorEastAsia" w:hAnsi="Times New Roman" w:cs="Times New Roman"/>
          <w:iCs/>
          <w:color w:val="auto"/>
          <w:lang w:val="en-US"/>
        </w:rPr>
        <w:t>C</w:t>
      </w:r>
      <w:r w:rsidRPr="00112DB6">
        <w:rPr>
          <w:rFonts w:ascii="Times New Roman" w:eastAsiaTheme="minorEastAsia" w:hAnsi="Times New Roman" w:cs="Times New Roman"/>
          <w:iCs/>
          <w:color w:val="auto"/>
          <w:lang w:val="en-US"/>
        </w:rPr>
        <w:t xml:space="preserve">ongenital </w:t>
      </w:r>
      <w:r w:rsidR="008624FF">
        <w:rPr>
          <w:rFonts w:ascii="Times New Roman" w:eastAsiaTheme="minorEastAsia" w:hAnsi="Times New Roman" w:cs="Times New Roman"/>
          <w:iCs/>
          <w:color w:val="auto"/>
          <w:lang w:val="en-US"/>
        </w:rPr>
        <w:t>A</w:t>
      </w:r>
      <w:r w:rsidRPr="00112DB6">
        <w:rPr>
          <w:rFonts w:ascii="Times New Roman" w:eastAsiaTheme="minorEastAsia" w:hAnsi="Times New Roman" w:cs="Times New Roman"/>
          <w:iCs/>
          <w:color w:val="auto"/>
          <w:lang w:val="en-US"/>
        </w:rPr>
        <w:t>nomalies</w:t>
      </w:r>
    </w:p>
    <w:p w14:paraId="1659DB30" w14:textId="77777777" w:rsidR="0064507B" w:rsidRPr="00112DB6" w:rsidRDefault="0064507B" w:rsidP="009E51EE">
      <w:pPr>
        <w:pStyle w:val="Default"/>
        <w:spacing w:before="240"/>
        <w:rPr>
          <w:rFonts w:ascii="Times New Roman" w:hAnsi="Times New Roman" w:cs="Times New Roman"/>
          <w:lang w:val="en-US"/>
        </w:rPr>
      </w:pPr>
      <w:r w:rsidRPr="00112DB6">
        <w:rPr>
          <w:rStyle w:val="Strong"/>
          <w:rFonts w:ascii="Times New Roman" w:hAnsi="Times New Roman" w:cs="Times New Roman"/>
          <w:lang w:val="en-US"/>
        </w:rPr>
        <w:lastRenderedPageBreak/>
        <w:t>Conflict of Interest Disclosures</w:t>
      </w:r>
      <w:r w:rsidRPr="00112DB6">
        <w:rPr>
          <w:rFonts w:ascii="Times New Roman" w:hAnsi="Times New Roman" w:cs="Times New Roman"/>
          <w:lang w:val="en-US"/>
        </w:rPr>
        <w:t>: The authors have no conflicts of interest relevant to this article to disclose.</w:t>
      </w:r>
    </w:p>
    <w:p w14:paraId="103A847A" w14:textId="77777777" w:rsidR="0064507B" w:rsidRPr="00112DB6" w:rsidRDefault="0064507B" w:rsidP="009E51EE">
      <w:pPr>
        <w:pStyle w:val="Default"/>
        <w:spacing w:before="240"/>
        <w:rPr>
          <w:rStyle w:val="Heading3Char"/>
          <w:rFonts w:ascii="Times New Roman" w:hAnsi="Times New Roman" w:cs="Times New Roman"/>
          <w:b/>
          <w:bCs/>
          <w:i w:val="0"/>
          <w:lang w:val="en-US"/>
        </w:rPr>
      </w:pPr>
      <w:r w:rsidRPr="00112DB6">
        <w:rPr>
          <w:rFonts w:ascii="Times New Roman" w:hAnsi="Times New Roman" w:cs="Times New Roman"/>
          <w:b/>
          <w:bCs/>
          <w:lang w:val="en-US"/>
        </w:rPr>
        <w:t>Funding/Support</w:t>
      </w:r>
      <w:r w:rsidRPr="00112DB6">
        <w:rPr>
          <w:rFonts w:ascii="Times New Roman" w:hAnsi="Times New Roman" w:cs="Times New Roman"/>
          <w:lang w:val="en-US"/>
        </w:rPr>
        <w:t xml:space="preserve">: </w:t>
      </w:r>
      <w:r w:rsidRPr="00112DB6">
        <w:rPr>
          <w:rFonts w:ascii="Times New Roman" w:hAnsi="Times New Roman" w:cs="Times New Roman"/>
          <w:shd w:val="clear" w:color="auto" w:fill="FFFFFF"/>
          <w:lang w:val="en-US"/>
        </w:rPr>
        <w:t xml:space="preserve">This project has received funding from the European Union’s Horizon 2020 research and innovation </w:t>
      </w:r>
      <w:proofErr w:type="spellStart"/>
      <w:r w:rsidRPr="00112DB6">
        <w:rPr>
          <w:rFonts w:ascii="Times New Roman" w:hAnsi="Times New Roman" w:cs="Times New Roman"/>
          <w:shd w:val="clear" w:color="auto" w:fill="FFFFFF"/>
          <w:lang w:val="en-US"/>
        </w:rPr>
        <w:t>programme</w:t>
      </w:r>
      <w:proofErr w:type="spellEnd"/>
      <w:r w:rsidRPr="00112DB6">
        <w:rPr>
          <w:rFonts w:ascii="Times New Roman" w:hAnsi="Times New Roman" w:cs="Times New Roman"/>
          <w:shd w:val="clear" w:color="auto" w:fill="FFFFFF"/>
          <w:lang w:val="en-US"/>
        </w:rPr>
        <w:t xml:space="preserve"> under grant agreement No. 733001</w:t>
      </w:r>
      <w:r w:rsidRPr="00112DB6">
        <w:rPr>
          <w:rFonts w:ascii="Times New Roman" w:hAnsi="Times New Roman" w:cs="Times New Roman"/>
          <w:lang w:val="en-US"/>
        </w:rPr>
        <w:t xml:space="preserve"> (Jan 2017 – Dec 2021) </w:t>
      </w:r>
      <w:hyperlink r:id="rId8" w:history="1">
        <w:r w:rsidRPr="00112DB6">
          <w:rPr>
            <w:rStyle w:val="Hyperlink"/>
            <w:rFonts w:ascii="Times New Roman" w:hAnsi="Times New Roman" w:cs="Times New Roman"/>
            <w:lang w:val="en-US"/>
          </w:rPr>
          <w:t>https://ec.europa.eu/programmes/horizon2020/en</w:t>
        </w:r>
      </w:hyperlink>
      <w:r w:rsidRPr="00112DB6">
        <w:rPr>
          <w:rFonts w:ascii="Times New Roman" w:hAnsi="Times New Roman" w:cs="Times New Roman"/>
          <w:lang w:val="en-US"/>
        </w:rPr>
        <w:t xml:space="preserve">). </w:t>
      </w:r>
      <w:r w:rsidRPr="00112DB6">
        <w:rPr>
          <w:rFonts w:ascii="Times New Roman" w:hAnsi="Times New Roman" w:cs="Times New Roman"/>
          <w:noProof/>
          <w:lang w:eastAsia="en-GB"/>
        </w:rPr>
        <w:drawing>
          <wp:inline distT="0" distB="0" distL="0" distR="0" wp14:anchorId="5760925C" wp14:editId="2EDBB5BB">
            <wp:extent cx="524442" cy="352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37666" cy="361312"/>
                    </a:xfrm>
                    <a:prstGeom prst="rect">
                      <a:avLst/>
                    </a:prstGeom>
                    <a:noFill/>
                    <a:ln>
                      <a:noFill/>
                    </a:ln>
                  </pic:spPr>
                </pic:pic>
              </a:graphicData>
            </a:graphic>
          </wp:inline>
        </w:drawing>
      </w:r>
    </w:p>
    <w:p w14:paraId="2FF8ED1A" w14:textId="77777777" w:rsidR="0064507B" w:rsidRPr="00112DB6" w:rsidRDefault="0064507B" w:rsidP="009E51EE">
      <w:pPr>
        <w:pStyle w:val="Default"/>
        <w:spacing w:before="240"/>
        <w:rPr>
          <w:rStyle w:val="Heading3Char"/>
          <w:rFonts w:ascii="Times New Roman" w:hAnsi="Times New Roman" w:cs="Times New Roman"/>
          <w:iCs/>
          <w:lang w:val="en-US"/>
        </w:rPr>
      </w:pPr>
      <w:r w:rsidRPr="00112DB6">
        <w:rPr>
          <w:rFonts w:ascii="Times New Roman" w:hAnsi="Times New Roman" w:cs="Times New Roman"/>
          <w:b/>
          <w:bCs/>
          <w:lang w:val="en-US"/>
        </w:rPr>
        <w:t xml:space="preserve">Role of the Funder/Sponsor: </w:t>
      </w:r>
      <w:r w:rsidRPr="00112DB6">
        <w:rPr>
          <w:rFonts w:ascii="Times New Roman" w:hAnsi="Times New Roman" w:cs="Times New Roman"/>
          <w:lang w:val="en-US"/>
        </w:rPr>
        <w:t xml:space="preserve">The funder had no role in the design and conduct of the study; collection, management, analysis, and interpretation of the data; preparation, or review; and decision to submit the manuscript for publication. </w:t>
      </w:r>
      <w:r w:rsidRPr="00112DB6">
        <w:rPr>
          <w:rFonts w:ascii="Times New Roman" w:hAnsi="Times New Roman" w:cs="Times New Roman"/>
          <w:shd w:val="clear" w:color="auto" w:fill="FFFFFF"/>
          <w:lang w:val="en-US"/>
        </w:rPr>
        <w:t>The views presented here are those of the authors only, and the European Commission is not responsible for any use that may be made of the information presented here.</w:t>
      </w:r>
    </w:p>
    <w:p w14:paraId="7BACBB6F" w14:textId="77777777" w:rsidR="0064507B" w:rsidRPr="00112DB6" w:rsidRDefault="0064507B" w:rsidP="009E51EE">
      <w:pPr>
        <w:pStyle w:val="Default"/>
        <w:spacing w:line="480" w:lineRule="auto"/>
        <w:rPr>
          <w:rFonts w:ascii="Times New Roman" w:eastAsiaTheme="minorEastAsia" w:hAnsi="Times New Roman" w:cs="Times New Roman"/>
          <w:b/>
          <w:bCs/>
          <w:iCs/>
          <w:color w:val="auto"/>
          <w:lang w:val="en-US"/>
        </w:rPr>
      </w:pPr>
    </w:p>
    <w:p w14:paraId="2C9F8BFC" w14:textId="77777777" w:rsidR="0064507B" w:rsidRPr="00112DB6" w:rsidRDefault="0064507B" w:rsidP="009E51EE">
      <w:pPr>
        <w:pStyle w:val="Default"/>
        <w:rPr>
          <w:rFonts w:ascii="Times New Roman" w:hAnsi="Times New Roman" w:cs="Times New Roman"/>
          <w:lang w:val="en-US"/>
        </w:rPr>
      </w:pPr>
      <w:r w:rsidRPr="00112DB6">
        <w:rPr>
          <w:rFonts w:ascii="Times New Roman" w:eastAsiaTheme="minorEastAsia" w:hAnsi="Times New Roman" w:cs="Times New Roman"/>
          <w:b/>
          <w:bCs/>
          <w:iCs/>
          <w:color w:val="auto"/>
          <w:lang w:val="en-US"/>
        </w:rPr>
        <w:t xml:space="preserve">Abbreviations: </w:t>
      </w:r>
      <w:r w:rsidRPr="00112DB6">
        <w:rPr>
          <w:rFonts w:ascii="Times New Roman" w:hAnsi="Times New Roman" w:cs="Times New Roman"/>
          <w:lang w:val="en-US"/>
        </w:rPr>
        <w:t xml:space="preserve">CA, congenital anomaly; CHD, congenital heart defect; CI, confidence interval; EUROCAT, European Surveillance of Congenital Anomalies; HLH, </w:t>
      </w:r>
      <w:proofErr w:type="spellStart"/>
      <w:r w:rsidRPr="00112DB6">
        <w:rPr>
          <w:rFonts w:ascii="Times New Roman" w:hAnsi="Times New Roman" w:cs="Times New Roman"/>
          <w:lang w:val="en-US"/>
        </w:rPr>
        <w:t>hypoplastic</w:t>
      </w:r>
      <w:proofErr w:type="spellEnd"/>
      <w:r w:rsidRPr="00112DB6">
        <w:rPr>
          <w:rFonts w:ascii="Times New Roman" w:hAnsi="Times New Roman" w:cs="Times New Roman"/>
          <w:lang w:val="en-US"/>
        </w:rPr>
        <w:t xml:space="preserve"> left heart; ICD-10, </w:t>
      </w:r>
      <w:r w:rsidRPr="00112DB6">
        <w:rPr>
          <w:rFonts w:ascii="Times New Roman" w:eastAsia="ScalaLancetPro" w:hAnsi="Times New Roman" w:cs="Times New Roman"/>
          <w:lang w:val="en-US"/>
        </w:rPr>
        <w:t>International Statistical Classification of Diseases and Related Health Problems, Tenth Revision.</w:t>
      </w:r>
    </w:p>
    <w:p w14:paraId="7FCA035B" w14:textId="77777777" w:rsidR="0064507B" w:rsidRPr="00112DB6" w:rsidRDefault="0064507B" w:rsidP="009E51EE">
      <w:pPr>
        <w:pStyle w:val="Default"/>
        <w:rPr>
          <w:rFonts w:ascii="Times New Roman" w:eastAsiaTheme="minorEastAsia" w:hAnsi="Times New Roman" w:cs="Times New Roman"/>
          <w:b/>
          <w:bCs/>
          <w:iCs/>
          <w:color w:val="auto"/>
          <w:lang w:val="en-US"/>
        </w:rPr>
      </w:pPr>
    </w:p>
    <w:p w14:paraId="03EFBED6" w14:textId="77777777" w:rsidR="0064507B" w:rsidRPr="00112DB6" w:rsidRDefault="0064507B" w:rsidP="009E51EE">
      <w:pPr>
        <w:pStyle w:val="Default"/>
        <w:rPr>
          <w:rFonts w:ascii="Times New Roman" w:hAnsi="Times New Roman" w:cs="Times New Roman"/>
          <w:lang w:val="en-US"/>
        </w:rPr>
      </w:pPr>
      <w:r w:rsidRPr="00112DB6">
        <w:rPr>
          <w:rFonts w:ascii="Times New Roman" w:hAnsi="Times New Roman" w:cs="Times New Roman"/>
          <w:b/>
          <w:bCs/>
          <w:lang w:val="en-US"/>
        </w:rPr>
        <w:t>Article summary</w:t>
      </w:r>
      <w:r w:rsidRPr="00112DB6">
        <w:rPr>
          <w:rFonts w:ascii="Times New Roman" w:hAnsi="Times New Roman" w:cs="Times New Roman"/>
          <w:lang w:val="en-US"/>
        </w:rPr>
        <w:t xml:space="preserve">: </w:t>
      </w:r>
    </w:p>
    <w:p w14:paraId="1F78C620" w14:textId="77777777" w:rsidR="0064507B" w:rsidRPr="00112DB6" w:rsidRDefault="0064507B" w:rsidP="009E51EE">
      <w:pPr>
        <w:pStyle w:val="Default"/>
        <w:rPr>
          <w:rFonts w:ascii="Times New Roman" w:hAnsi="Times New Roman" w:cs="Times New Roman"/>
          <w:lang w:val="en-US"/>
        </w:rPr>
      </w:pPr>
      <w:r w:rsidRPr="00112DB6">
        <w:rPr>
          <w:rFonts w:ascii="Times New Roman" w:hAnsi="Times New Roman" w:cs="Times New Roman"/>
          <w:lang w:val="en-US"/>
        </w:rPr>
        <w:t xml:space="preserve">Through linkage of population-based European congenital anomaly registries’ and mortality databases, this study estimates 10-year survival of children born with 32 different structural congenital anomalies. </w:t>
      </w:r>
    </w:p>
    <w:p w14:paraId="77557DCF" w14:textId="77777777" w:rsidR="0064507B" w:rsidRPr="00112DB6" w:rsidRDefault="0064507B" w:rsidP="009E51EE">
      <w:pPr>
        <w:pStyle w:val="Default"/>
        <w:rPr>
          <w:rFonts w:ascii="Times New Roman" w:hAnsi="Times New Roman" w:cs="Times New Roman"/>
          <w:lang w:val="en-US"/>
        </w:rPr>
      </w:pPr>
    </w:p>
    <w:p w14:paraId="25C85348" w14:textId="77777777" w:rsidR="0064507B" w:rsidRPr="00112DB6" w:rsidRDefault="0064507B" w:rsidP="009E51EE">
      <w:pPr>
        <w:pStyle w:val="Default"/>
        <w:rPr>
          <w:rFonts w:ascii="Times New Roman" w:hAnsi="Times New Roman" w:cs="Times New Roman"/>
          <w:b/>
          <w:bCs/>
          <w:sz w:val="23"/>
          <w:szCs w:val="23"/>
          <w:lang w:val="en-US"/>
        </w:rPr>
      </w:pPr>
      <w:r w:rsidRPr="00112DB6">
        <w:rPr>
          <w:rFonts w:ascii="Times New Roman" w:hAnsi="Times New Roman" w:cs="Times New Roman"/>
          <w:b/>
          <w:bCs/>
          <w:sz w:val="23"/>
          <w:szCs w:val="23"/>
          <w:lang w:val="en-US"/>
        </w:rPr>
        <w:t xml:space="preserve">What’s </w:t>
      </w:r>
      <w:proofErr w:type="gramStart"/>
      <w:r w:rsidRPr="00112DB6">
        <w:rPr>
          <w:rFonts w:ascii="Times New Roman" w:hAnsi="Times New Roman" w:cs="Times New Roman"/>
          <w:b/>
          <w:bCs/>
          <w:sz w:val="23"/>
          <w:szCs w:val="23"/>
          <w:lang w:val="en-US"/>
        </w:rPr>
        <w:t>Known</w:t>
      </w:r>
      <w:proofErr w:type="gramEnd"/>
      <w:r w:rsidRPr="00112DB6">
        <w:rPr>
          <w:rFonts w:ascii="Times New Roman" w:hAnsi="Times New Roman" w:cs="Times New Roman"/>
          <w:b/>
          <w:bCs/>
          <w:sz w:val="23"/>
          <w:szCs w:val="23"/>
          <w:lang w:val="en-US"/>
        </w:rPr>
        <w:t xml:space="preserve"> on This Subject</w:t>
      </w:r>
    </w:p>
    <w:p w14:paraId="112FA5FC" w14:textId="77777777" w:rsidR="0064507B" w:rsidRPr="00112DB6" w:rsidRDefault="0064507B" w:rsidP="009E51EE">
      <w:pPr>
        <w:pStyle w:val="Default"/>
        <w:rPr>
          <w:rFonts w:ascii="Times New Roman" w:hAnsi="Times New Roman" w:cs="Times New Roman"/>
          <w:b/>
          <w:bCs/>
          <w:sz w:val="23"/>
          <w:szCs w:val="23"/>
          <w:lang w:val="en-US"/>
        </w:rPr>
      </w:pPr>
    </w:p>
    <w:p w14:paraId="6BFF6A31" w14:textId="77777777" w:rsidR="0064507B" w:rsidRPr="00112DB6" w:rsidRDefault="0064507B" w:rsidP="009E51EE">
      <w:pPr>
        <w:autoSpaceDE w:val="0"/>
        <w:autoSpaceDN w:val="0"/>
        <w:adjustRightInd w:val="0"/>
        <w:spacing w:before="0" w:after="0" w:line="240" w:lineRule="auto"/>
        <w:rPr>
          <w:rFonts w:eastAsiaTheme="minorHAnsi" w:cs="Times New Roman"/>
          <w:color w:val="000000"/>
          <w:szCs w:val="24"/>
          <w:lang w:val="en-US"/>
        </w:rPr>
      </w:pPr>
      <w:r w:rsidRPr="00112DB6">
        <w:rPr>
          <w:rFonts w:eastAsiaTheme="minorHAnsi" w:cs="Times New Roman"/>
          <w:color w:val="000000"/>
          <w:szCs w:val="24"/>
          <w:lang w:val="en-US"/>
        </w:rPr>
        <w:t xml:space="preserve">Survival beyond infancy in children born with common congenital anomalies </w:t>
      </w:r>
      <w:proofErr w:type="gramStart"/>
      <w:r w:rsidRPr="00112DB6">
        <w:rPr>
          <w:rFonts w:eastAsiaTheme="minorHAnsi" w:cs="Times New Roman"/>
          <w:color w:val="000000"/>
          <w:szCs w:val="24"/>
          <w:lang w:val="en-US"/>
        </w:rPr>
        <w:t>has been reported</w:t>
      </w:r>
      <w:proofErr w:type="gramEnd"/>
      <w:r w:rsidRPr="00112DB6">
        <w:rPr>
          <w:rFonts w:eastAsiaTheme="minorHAnsi" w:cs="Times New Roman"/>
          <w:color w:val="000000"/>
          <w:szCs w:val="24"/>
          <w:lang w:val="en-US"/>
        </w:rPr>
        <w:t xml:space="preserve"> by individual studies, but long-term survival estimates for children with a wide range of specific congenital anomalies using standardized population-based multicenter data are lacking. </w:t>
      </w:r>
    </w:p>
    <w:p w14:paraId="4099DC1A" w14:textId="77777777" w:rsidR="0064507B" w:rsidRPr="00112DB6" w:rsidRDefault="0064507B" w:rsidP="009E51EE">
      <w:pPr>
        <w:autoSpaceDE w:val="0"/>
        <w:autoSpaceDN w:val="0"/>
        <w:adjustRightInd w:val="0"/>
        <w:spacing w:before="0" w:after="0" w:line="240" w:lineRule="auto"/>
        <w:rPr>
          <w:rFonts w:eastAsiaTheme="minorHAnsi" w:cs="Times New Roman"/>
          <w:color w:val="000000"/>
          <w:szCs w:val="24"/>
          <w:lang w:val="en-US"/>
        </w:rPr>
      </w:pPr>
    </w:p>
    <w:p w14:paraId="699DA67D" w14:textId="77777777" w:rsidR="0064507B" w:rsidRPr="00112DB6" w:rsidRDefault="0064507B" w:rsidP="009E51EE">
      <w:pPr>
        <w:pStyle w:val="Default"/>
        <w:rPr>
          <w:rFonts w:ascii="Times New Roman" w:hAnsi="Times New Roman" w:cs="Times New Roman"/>
          <w:b/>
          <w:bCs/>
          <w:lang w:val="en-US"/>
        </w:rPr>
      </w:pPr>
      <w:r w:rsidRPr="00112DB6">
        <w:rPr>
          <w:rFonts w:ascii="Times New Roman" w:hAnsi="Times New Roman" w:cs="Times New Roman"/>
          <w:b/>
          <w:bCs/>
          <w:lang w:val="en-US"/>
        </w:rPr>
        <w:t>What This Study Adds</w:t>
      </w:r>
    </w:p>
    <w:p w14:paraId="6008E977" w14:textId="77777777" w:rsidR="0064507B" w:rsidRPr="00112DB6" w:rsidRDefault="0064507B" w:rsidP="009E51EE">
      <w:pPr>
        <w:pStyle w:val="Default"/>
        <w:rPr>
          <w:rFonts w:ascii="Times New Roman" w:hAnsi="Times New Roman" w:cs="Times New Roman"/>
          <w:b/>
          <w:bCs/>
          <w:lang w:val="en-US"/>
        </w:rPr>
      </w:pPr>
    </w:p>
    <w:p w14:paraId="50F17530" w14:textId="77777777" w:rsidR="0064507B" w:rsidRPr="00112DB6" w:rsidRDefault="0064507B" w:rsidP="009E51EE">
      <w:pPr>
        <w:pStyle w:val="Default"/>
        <w:rPr>
          <w:rFonts w:ascii="Times New Roman" w:eastAsiaTheme="minorEastAsia" w:hAnsi="Times New Roman" w:cs="Times New Roman"/>
          <w:b/>
          <w:bCs/>
          <w:iCs/>
          <w:color w:val="auto"/>
          <w:lang w:val="en-US"/>
        </w:rPr>
      </w:pPr>
      <w:r w:rsidRPr="00112DB6">
        <w:rPr>
          <w:rStyle w:val="Strong"/>
          <w:rFonts w:ascii="Times New Roman" w:hAnsi="Times New Roman" w:cs="Times New Roman"/>
          <w:b w:val="0"/>
          <w:bCs w:val="0"/>
          <w:lang w:val="en-US"/>
        </w:rPr>
        <w:t xml:space="preserve">This </w:t>
      </w:r>
      <w:r w:rsidRPr="00112DB6">
        <w:rPr>
          <w:rFonts w:ascii="Times New Roman" w:hAnsi="Times New Roman" w:cs="Times New Roman"/>
          <w:lang w:val="en-US"/>
        </w:rPr>
        <w:t>population-based linked cohort</w:t>
      </w:r>
      <w:r w:rsidRPr="00112DB6">
        <w:rPr>
          <w:rFonts w:ascii="Times New Roman" w:hAnsi="Times New Roman" w:cs="Times New Roman"/>
          <w:b/>
          <w:bCs/>
          <w:lang w:val="en-US"/>
        </w:rPr>
        <w:t xml:space="preserve"> </w:t>
      </w:r>
      <w:r w:rsidRPr="00112DB6">
        <w:rPr>
          <w:rFonts w:ascii="Times New Roman" w:hAnsi="Times New Roman" w:cs="Times New Roman"/>
          <w:lang w:val="en-US"/>
        </w:rPr>
        <w:t>study</w:t>
      </w:r>
      <w:r w:rsidRPr="00112DB6">
        <w:rPr>
          <w:rStyle w:val="Strong"/>
          <w:rFonts w:ascii="Times New Roman" w:hAnsi="Times New Roman" w:cs="Times New Roman"/>
          <w:b w:val="0"/>
          <w:bCs w:val="0"/>
          <w:lang w:val="en-US"/>
        </w:rPr>
        <w:t xml:space="preserve"> from 13 regions within nine European countries (</w:t>
      </w:r>
      <w:proofErr w:type="spellStart"/>
      <w:r w:rsidRPr="00112DB6">
        <w:rPr>
          <w:rStyle w:val="Strong"/>
          <w:rFonts w:ascii="Times New Roman" w:hAnsi="Times New Roman" w:cs="Times New Roman"/>
          <w:b w:val="0"/>
          <w:bCs w:val="0"/>
          <w:lang w:val="en-US"/>
        </w:rPr>
        <w:t>EUROlinkCAT</w:t>
      </w:r>
      <w:proofErr w:type="spellEnd"/>
      <w:r w:rsidRPr="00112DB6">
        <w:rPr>
          <w:rStyle w:val="Strong"/>
          <w:rFonts w:ascii="Times New Roman" w:hAnsi="Times New Roman" w:cs="Times New Roman"/>
          <w:b w:val="0"/>
          <w:bCs w:val="0"/>
          <w:lang w:val="en-US"/>
        </w:rPr>
        <w:t>) provided reliable survival estimates up to age 10 years for children with specific isolated and non-isolated structural congenital anomalies that are important for clinical practice and counseling.</w:t>
      </w:r>
    </w:p>
    <w:p w14:paraId="5A298F0C" w14:textId="77777777" w:rsidR="0064507B" w:rsidRPr="00112DB6" w:rsidRDefault="0064507B" w:rsidP="009E51EE">
      <w:pPr>
        <w:pStyle w:val="Heading1"/>
        <w:spacing w:before="0" w:line="240" w:lineRule="auto"/>
        <w:rPr>
          <w:rFonts w:cs="Times New Roman"/>
          <w:szCs w:val="24"/>
          <w:lang w:val="en-US"/>
        </w:rPr>
      </w:pPr>
      <w:r w:rsidRPr="00112DB6">
        <w:rPr>
          <w:rFonts w:cs="Times New Roman"/>
          <w:bCs/>
          <w:lang w:val="en-US"/>
        </w:rPr>
        <w:lastRenderedPageBreak/>
        <w:t>Contributors' Statement:</w:t>
      </w:r>
    </w:p>
    <w:p w14:paraId="0761ACAF"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492A6993"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Dr Glinianaia contributed to development of study methods, including data standardization and linkage, developed statistical analysis plan, performed the descriptive analysis, interpreted the results, drafted the initial manuscript, and reviewed and revised the manuscript.</w:t>
      </w:r>
    </w:p>
    <w:p w14:paraId="7B21087C" w14:textId="77777777" w:rsidR="0064507B" w:rsidRPr="00112DB6" w:rsidRDefault="0064507B" w:rsidP="009E51EE">
      <w:pPr>
        <w:pStyle w:val="NormalWeb"/>
        <w:shd w:val="clear" w:color="auto" w:fill="FFFFFF"/>
        <w:spacing w:before="0" w:beforeAutospacing="0" w:after="0" w:afterAutospacing="0"/>
        <w:rPr>
          <w:rStyle w:val="Emphasis"/>
          <w:rFonts w:eastAsiaTheme="majorEastAsia"/>
          <w:b w:val="0"/>
          <w:bCs w:val="0"/>
          <w:i w:val="0"/>
          <w:iCs w:val="0"/>
          <w:color w:val="000000"/>
          <w:lang w:val="en-US" w:eastAsia="en-US"/>
        </w:rPr>
      </w:pPr>
    </w:p>
    <w:p w14:paraId="3D4F8651"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Prof Rankin conceptualized and designed the study, contributed to obtaining funding, supervised the work, contributed to interpretation of the results, and reviewed and revised the manuscript.</w:t>
      </w:r>
    </w:p>
    <w:p w14:paraId="2EE0A246" w14:textId="77777777" w:rsidR="0064507B" w:rsidRPr="00112DB6" w:rsidRDefault="0064507B" w:rsidP="009E51EE">
      <w:pPr>
        <w:pStyle w:val="NormalWeb"/>
        <w:shd w:val="clear" w:color="auto" w:fill="FFFFFF"/>
        <w:spacing w:before="0" w:beforeAutospacing="0" w:after="0" w:afterAutospacing="0"/>
        <w:rPr>
          <w:rStyle w:val="Emphasis"/>
          <w:rFonts w:eastAsiaTheme="majorEastAsia"/>
          <w:b w:val="0"/>
          <w:bCs w:val="0"/>
          <w:i w:val="0"/>
          <w:iCs w:val="0"/>
          <w:color w:val="000000"/>
          <w:lang w:val="en-US" w:eastAsia="en-US"/>
        </w:rPr>
      </w:pPr>
    </w:p>
    <w:p w14:paraId="7ABE30E4"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 xml:space="preserve">Dr Pierini conceptualized and designed the study, contributed to obtaining funding, contributed to interpretation of the results, and critically reviewed the manuscript for important intellectual content. </w:t>
      </w:r>
    </w:p>
    <w:p w14:paraId="6D669662"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13A41BAD"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roofErr w:type="spellStart"/>
      <w:r w:rsidRPr="00112DB6">
        <w:rPr>
          <w:rStyle w:val="Emphasis"/>
          <w:b w:val="0"/>
          <w:bCs w:val="0"/>
          <w:i w:val="0"/>
          <w:iCs w:val="0"/>
          <w:color w:val="000000"/>
          <w:lang w:val="en-US"/>
        </w:rPr>
        <w:t>Drs</w:t>
      </w:r>
      <w:proofErr w:type="spellEnd"/>
      <w:r w:rsidRPr="00112DB6">
        <w:rPr>
          <w:rStyle w:val="Emphasis"/>
          <w:b w:val="0"/>
          <w:bCs w:val="0"/>
          <w:i w:val="0"/>
          <w:iCs w:val="0"/>
          <w:color w:val="000000"/>
          <w:lang w:val="en-US"/>
        </w:rPr>
        <w:t xml:space="preserve"> Coi and Santoro contributed to the data analysis and interpretation of the results, and critically reviewed the manuscript for important intellectual content.</w:t>
      </w:r>
    </w:p>
    <w:p w14:paraId="19C668E2"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6BB25FF2"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Dr Tan contributed to development of study methods, including data standardization and data linkage, development of statistical analysis plan</w:t>
      </w:r>
      <w:r w:rsidRPr="00112DB6">
        <w:rPr>
          <w:b/>
          <w:bCs/>
          <w:i/>
          <w:iCs/>
          <w:lang w:val="en-US"/>
        </w:rPr>
        <w:t xml:space="preserve">, </w:t>
      </w:r>
      <w:r w:rsidRPr="00112DB6">
        <w:rPr>
          <w:lang w:val="en-US"/>
        </w:rPr>
        <w:t>writing analysis programs,</w:t>
      </w:r>
      <w:r w:rsidRPr="00112DB6">
        <w:rPr>
          <w:b/>
          <w:bCs/>
          <w:i/>
          <w:iCs/>
          <w:lang w:val="en-US"/>
        </w:rPr>
        <w:t xml:space="preserve"> </w:t>
      </w:r>
      <w:r w:rsidRPr="00112DB6">
        <w:rPr>
          <w:rStyle w:val="Emphasis"/>
          <w:b w:val="0"/>
          <w:bCs w:val="0"/>
          <w:i w:val="0"/>
          <w:iCs w:val="0"/>
          <w:color w:val="000000"/>
          <w:lang w:val="en-US"/>
        </w:rPr>
        <w:t xml:space="preserve">data analysis and interpretation of the results, and critically reviewed the manuscript for important intellectual content. </w:t>
      </w:r>
    </w:p>
    <w:p w14:paraId="3517A972"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67CC4EDB"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roofErr w:type="spellStart"/>
      <w:r w:rsidRPr="00112DB6">
        <w:rPr>
          <w:rStyle w:val="Emphasis"/>
          <w:b w:val="0"/>
          <w:bCs w:val="0"/>
          <w:i w:val="0"/>
          <w:iCs w:val="0"/>
          <w:color w:val="000000"/>
          <w:lang w:val="en-US"/>
        </w:rPr>
        <w:t>Ms</w:t>
      </w:r>
      <w:proofErr w:type="spellEnd"/>
      <w:r w:rsidRPr="00112DB6">
        <w:rPr>
          <w:rStyle w:val="Emphasis"/>
          <w:b w:val="0"/>
          <w:bCs w:val="0"/>
          <w:i w:val="0"/>
          <w:iCs w:val="0"/>
          <w:color w:val="000000"/>
          <w:lang w:val="en-US"/>
        </w:rPr>
        <w:t xml:space="preserve"> Reid wrote analysis programs and contributed to data analysis, interpretation of the results, and critically reviewed the manuscript for important intellectual content.</w:t>
      </w:r>
    </w:p>
    <w:p w14:paraId="23FA1C99"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4D27E8C8"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Dr Garne contributed to obtaining funding, development of study methods, including data standardization and data linkage, to interpretation of the results, and critically reviewed the manuscript for important intellectual content.</w:t>
      </w:r>
    </w:p>
    <w:p w14:paraId="0F1A1A46"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776EAC32"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 xml:space="preserve">Dr Loane contributed to obtaining funding, was responsible for data standardization and management of data linkage by the participating data providers, </w:t>
      </w:r>
      <w:bookmarkStart w:id="1" w:name="_Hlk65742542"/>
      <w:r w:rsidRPr="00112DB6">
        <w:rPr>
          <w:rStyle w:val="Emphasis"/>
          <w:b w:val="0"/>
          <w:bCs w:val="0"/>
          <w:i w:val="0"/>
          <w:iCs w:val="0"/>
          <w:color w:val="000000"/>
          <w:lang w:val="en-US"/>
        </w:rPr>
        <w:t>contributed to data analysis and interpretation of the results, and critically reviewed the manuscript for important intellectual content.</w:t>
      </w:r>
      <w:bookmarkEnd w:id="1"/>
    </w:p>
    <w:p w14:paraId="6BD0DFEA"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472B079F"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Dr Given contributed to development of study methods, including data standardization and data linkage, to interpretation of the results, and critically reviewed the manuscript for important intellectual content.</w:t>
      </w:r>
    </w:p>
    <w:p w14:paraId="58D04317"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48AAAB83"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roofErr w:type="spellStart"/>
      <w:r w:rsidRPr="00112DB6">
        <w:rPr>
          <w:color w:val="000000"/>
          <w:lang w:val="en-US"/>
        </w:rPr>
        <w:t>Drs</w:t>
      </w:r>
      <w:proofErr w:type="spellEnd"/>
      <w:r w:rsidRPr="00112DB6">
        <w:rPr>
          <w:color w:val="000000"/>
          <w:lang w:val="en-US"/>
        </w:rPr>
        <w:t xml:space="preserve"> Cavero-</w:t>
      </w:r>
      <w:proofErr w:type="spellStart"/>
      <w:r w:rsidRPr="00112DB6">
        <w:rPr>
          <w:color w:val="000000"/>
          <w:lang w:val="en-US"/>
        </w:rPr>
        <w:t>Carbonell</w:t>
      </w:r>
      <w:proofErr w:type="spellEnd"/>
      <w:r w:rsidRPr="00112DB6">
        <w:rPr>
          <w:color w:val="000000"/>
          <w:lang w:val="en-US"/>
        </w:rPr>
        <w:t xml:space="preserve">, de Walle, </w:t>
      </w:r>
      <w:proofErr w:type="gramStart"/>
      <w:r w:rsidRPr="00112DB6">
        <w:rPr>
          <w:color w:val="000000"/>
          <w:lang w:val="en-US"/>
        </w:rPr>
        <w:t>Gatt</w:t>
      </w:r>
      <w:proofErr w:type="gramEnd"/>
      <w:r w:rsidRPr="00112DB6">
        <w:rPr>
          <w:color w:val="000000"/>
          <w:lang w:val="en-US"/>
        </w:rPr>
        <w:t xml:space="preserve">, Khoshnood, </w:t>
      </w:r>
      <w:r w:rsidRPr="00112DB6">
        <w:rPr>
          <w:shd w:val="clear" w:color="auto" w:fill="FFFFFF"/>
          <w:lang w:val="en-US"/>
        </w:rPr>
        <w:t xml:space="preserve">Urhøj, </w:t>
      </w:r>
      <w:proofErr w:type="spellStart"/>
      <w:r w:rsidRPr="00112DB6">
        <w:rPr>
          <w:color w:val="201F1E"/>
          <w:szCs w:val="40"/>
          <w:shd w:val="clear" w:color="auto" w:fill="FFFFFF"/>
          <w:lang w:val="en-US"/>
        </w:rPr>
        <w:t>Zurriaga</w:t>
      </w:r>
      <w:proofErr w:type="spellEnd"/>
      <w:r w:rsidRPr="00112DB6">
        <w:rPr>
          <w:color w:val="201F1E"/>
          <w:szCs w:val="40"/>
          <w:shd w:val="clear" w:color="auto" w:fill="FFFFFF"/>
          <w:lang w:val="en-US"/>
        </w:rPr>
        <w:t xml:space="preserve">, Professors </w:t>
      </w:r>
      <w:r w:rsidRPr="00112DB6">
        <w:rPr>
          <w:rFonts w:eastAsia="Times New Roman"/>
          <w:color w:val="000000"/>
          <w:lang w:val="en-US"/>
        </w:rPr>
        <w:t xml:space="preserve">Gissler, </w:t>
      </w:r>
      <w:r w:rsidRPr="00112DB6">
        <w:rPr>
          <w:color w:val="000000"/>
          <w:lang w:val="en-US"/>
        </w:rPr>
        <w:t xml:space="preserve">Klungsøyr, </w:t>
      </w:r>
      <w:proofErr w:type="spellStart"/>
      <w:r w:rsidRPr="00112DB6">
        <w:rPr>
          <w:color w:val="000000"/>
          <w:lang w:val="en-US"/>
        </w:rPr>
        <w:t>Mses</w:t>
      </w:r>
      <w:proofErr w:type="spellEnd"/>
      <w:r w:rsidRPr="00112DB6">
        <w:rPr>
          <w:color w:val="000000"/>
          <w:lang w:val="en-US"/>
        </w:rPr>
        <w:t xml:space="preserve"> Heino, Lelong, Neville, </w:t>
      </w:r>
      <w:r w:rsidRPr="00112DB6">
        <w:rPr>
          <w:lang w:val="en-US"/>
        </w:rPr>
        <w:t xml:space="preserve">Wellesley and </w:t>
      </w:r>
      <w:proofErr w:type="spellStart"/>
      <w:r w:rsidRPr="00112DB6">
        <w:rPr>
          <w:lang w:val="en-US"/>
        </w:rPr>
        <w:t>Mr</w:t>
      </w:r>
      <w:proofErr w:type="spellEnd"/>
      <w:r w:rsidRPr="00112DB6">
        <w:rPr>
          <w:lang w:val="en-US"/>
        </w:rPr>
        <w:t xml:space="preserve"> Thayer and </w:t>
      </w:r>
      <w:proofErr w:type="spellStart"/>
      <w:r w:rsidRPr="00112DB6">
        <w:rPr>
          <w:lang w:val="en-US"/>
        </w:rPr>
        <w:t>Mr</w:t>
      </w:r>
      <w:proofErr w:type="spellEnd"/>
      <w:r w:rsidRPr="00112DB6">
        <w:rPr>
          <w:lang w:val="en-US"/>
        </w:rPr>
        <w:t xml:space="preserve"> Tucker were responsible for data linkage and standardization for their registries’ data and running centrally written syntax scripts for local analyses, </w:t>
      </w:r>
      <w:r w:rsidRPr="00112DB6">
        <w:rPr>
          <w:rStyle w:val="Emphasis"/>
          <w:b w:val="0"/>
          <w:bCs w:val="0"/>
          <w:i w:val="0"/>
          <w:iCs w:val="0"/>
          <w:color w:val="000000"/>
          <w:lang w:val="en-US"/>
        </w:rPr>
        <w:t>and critically reviewed the manuscript for important intellectual content.</w:t>
      </w:r>
    </w:p>
    <w:p w14:paraId="5682987B"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6B2082FE"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r w:rsidRPr="00112DB6">
        <w:rPr>
          <w:rStyle w:val="Emphasis"/>
          <w:b w:val="0"/>
          <w:bCs w:val="0"/>
          <w:i w:val="0"/>
          <w:iCs w:val="0"/>
          <w:color w:val="000000"/>
          <w:lang w:val="en-US"/>
        </w:rPr>
        <w:t>Prof Morris conceptualized and designed the study, obtained funding, developed study methods, including data standardization and linkage</w:t>
      </w:r>
      <w:r w:rsidRPr="00112DB6">
        <w:rPr>
          <w:rStyle w:val="Emphasis"/>
          <w:b w:val="0"/>
          <w:bCs w:val="0"/>
          <w:color w:val="000000"/>
          <w:lang w:val="en-US"/>
        </w:rPr>
        <w:t>,</w:t>
      </w:r>
      <w:r w:rsidRPr="00112DB6">
        <w:rPr>
          <w:rStyle w:val="Emphasis"/>
          <w:b w:val="0"/>
          <w:bCs w:val="0"/>
          <w:i w:val="0"/>
          <w:iCs w:val="0"/>
          <w:color w:val="000000"/>
          <w:lang w:val="en-US"/>
        </w:rPr>
        <w:t xml:space="preserve"> supervised </w:t>
      </w:r>
      <w:r w:rsidRPr="00112DB6">
        <w:rPr>
          <w:lang w:val="en-US"/>
        </w:rPr>
        <w:t>writing analysis programs, performed statistical</w:t>
      </w:r>
      <w:r w:rsidRPr="00112DB6">
        <w:rPr>
          <w:rStyle w:val="Emphasis"/>
          <w:color w:val="000000"/>
          <w:lang w:val="en-US"/>
        </w:rPr>
        <w:t xml:space="preserve"> </w:t>
      </w:r>
      <w:r w:rsidRPr="00112DB6">
        <w:rPr>
          <w:rStyle w:val="Emphasis"/>
          <w:b w:val="0"/>
          <w:bCs w:val="0"/>
          <w:i w:val="0"/>
          <w:iCs w:val="0"/>
          <w:color w:val="000000"/>
          <w:lang w:val="en-US"/>
        </w:rPr>
        <w:t>analysis, supervised the work, drafted the initial manuscript, and reviewed and revised the manuscript.</w:t>
      </w:r>
    </w:p>
    <w:p w14:paraId="594E4215" w14:textId="77777777" w:rsidR="0064507B" w:rsidRPr="00112DB6" w:rsidRDefault="0064507B" w:rsidP="009E51EE">
      <w:pPr>
        <w:pStyle w:val="NormalWeb"/>
        <w:shd w:val="clear" w:color="auto" w:fill="FFFFFF"/>
        <w:spacing w:before="0" w:beforeAutospacing="0" w:after="0" w:afterAutospacing="0"/>
        <w:rPr>
          <w:rStyle w:val="Emphasis"/>
          <w:b w:val="0"/>
          <w:bCs w:val="0"/>
          <w:i w:val="0"/>
          <w:iCs w:val="0"/>
          <w:color w:val="000000"/>
          <w:lang w:val="en-US"/>
        </w:rPr>
      </w:pPr>
    </w:p>
    <w:p w14:paraId="2A4A0A8E" w14:textId="77777777" w:rsidR="0064507B" w:rsidRPr="00112DB6" w:rsidRDefault="0064507B" w:rsidP="009E51EE">
      <w:pPr>
        <w:pStyle w:val="NormalWeb"/>
        <w:shd w:val="clear" w:color="auto" w:fill="FFFFFF"/>
        <w:spacing w:before="0" w:beforeAutospacing="0" w:after="0" w:afterAutospacing="0"/>
        <w:rPr>
          <w:b/>
          <w:bCs/>
          <w:i/>
          <w:iCs/>
          <w:color w:val="000000"/>
          <w:lang w:val="en-US"/>
        </w:rPr>
      </w:pPr>
      <w:proofErr w:type="gramStart"/>
      <w:r w:rsidRPr="00112DB6">
        <w:rPr>
          <w:rStyle w:val="Emphasis"/>
          <w:b w:val="0"/>
          <w:bCs w:val="0"/>
          <w:i w:val="0"/>
          <w:iCs w:val="0"/>
          <w:color w:val="000000"/>
          <w:lang w:val="en-US"/>
        </w:rPr>
        <w:lastRenderedPageBreak/>
        <w:t>All authors approved the final manuscript as submitted and agree to be accountable for major aspects of the work.</w:t>
      </w:r>
      <w:proofErr w:type="gramEnd"/>
    </w:p>
    <w:p w14:paraId="7583A4C7" w14:textId="77777777" w:rsidR="0064507B" w:rsidRPr="00112DB6" w:rsidRDefault="0064507B" w:rsidP="009E51EE">
      <w:pPr>
        <w:pStyle w:val="Heading1"/>
        <w:spacing w:line="240" w:lineRule="auto"/>
        <w:rPr>
          <w:rFonts w:cs="Times New Roman"/>
          <w:sz w:val="28"/>
          <w:szCs w:val="28"/>
          <w:lang w:val="en-US"/>
        </w:rPr>
      </w:pPr>
      <w:r w:rsidRPr="00112DB6">
        <w:rPr>
          <w:rFonts w:cs="Times New Roman"/>
          <w:sz w:val="28"/>
          <w:szCs w:val="28"/>
          <w:lang w:val="en-US"/>
        </w:rPr>
        <w:lastRenderedPageBreak/>
        <w:t>ABSTRACT</w:t>
      </w:r>
    </w:p>
    <w:p w14:paraId="5655532A" w14:textId="77777777" w:rsidR="0064507B" w:rsidRPr="00112DB6" w:rsidRDefault="0064507B" w:rsidP="009E51EE">
      <w:pPr>
        <w:spacing w:before="0" w:after="0" w:line="240" w:lineRule="auto"/>
        <w:rPr>
          <w:rFonts w:cs="Times New Roman"/>
          <w:color w:val="000000"/>
          <w:szCs w:val="24"/>
          <w:lang w:val="en-US"/>
        </w:rPr>
      </w:pPr>
    </w:p>
    <w:p w14:paraId="22644940" w14:textId="77777777" w:rsidR="0064507B" w:rsidRPr="00112DB6" w:rsidRDefault="0064507B" w:rsidP="009E51EE">
      <w:pPr>
        <w:spacing w:before="0" w:after="0" w:line="240" w:lineRule="auto"/>
        <w:rPr>
          <w:rFonts w:cs="Times New Roman"/>
          <w:b/>
          <w:bCs/>
          <w:color w:val="000000"/>
          <w:szCs w:val="24"/>
          <w:lang w:val="en-US"/>
        </w:rPr>
      </w:pPr>
      <w:r w:rsidRPr="00112DB6">
        <w:rPr>
          <w:rFonts w:cs="Times New Roman"/>
          <w:b/>
          <w:bCs/>
          <w:caps/>
          <w:color w:val="000000"/>
          <w:szCs w:val="24"/>
          <w:lang w:val="en-US"/>
        </w:rPr>
        <w:t>Objectives:</w:t>
      </w:r>
      <w:r w:rsidRPr="00112DB6">
        <w:rPr>
          <w:rFonts w:cs="Times New Roman"/>
          <w:b/>
          <w:bCs/>
          <w:color w:val="000000"/>
          <w:szCs w:val="24"/>
          <w:lang w:val="en-US"/>
        </w:rPr>
        <w:t xml:space="preserve"> </w:t>
      </w:r>
      <w:r w:rsidRPr="00112DB6">
        <w:rPr>
          <w:rFonts w:cs="Times New Roman"/>
          <w:szCs w:val="24"/>
          <w:lang w:val="en-US"/>
        </w:rPr>
        <w:t>To investigate the survival up to age 10 years for children born alive with a major congenital anomaly.</w:t>
      </w:r>
    </w:p>
    <w:p w14:paraId="7C5AF1AA" w14:textId="77777777" w:rsidR="0064507B" w:rsidRPr="00112DB6" w:rsidRDefault="0064507B" w:rsidP="009E51EE">
      <w:pPr>
        <w:spacing w:before="0" w:after="0" w:line="240" w:lineRule="auto"/>
        <w:rPr>
          <w:rFonts w:cs="Times New Roman"/>
          <w:color w:val="000000"/>
          <w:szCs w:val="24"/>
          <w:lang w:val="en-US"/>
        </w:rPr>
      </w:pPr>
      <w:r w:rsidRPr="00112DB6">
        <w:rPr>
          <w:rFonts w:cs="Times New Roman"/>
          <w:b/>
          <w:bCs/>
          <w:caps/>
          <w:color w:val="000000"/>
          <w:szCs w:val="24"/>
          <w:lang w:val="en-US"/>
        </w:rPr>
        <w:t>METHODs:</w:t>
      </w:r>
      <w:r w:rsidRPr="00112DB6">
        <w:rPr>
          <w:rFonts w:cs="Times New Roman"/>
          <w:color w:val="000000"/>
          <w:szCs w:val="24"/>
          <w:lang w:val="en-US"/>
        </w:rPr>
        <w:t xml:space="preserve"> This</w:t>
      </w:r>
      <w:r w:rsidRPr="00112DB6">
        <w:rPr>
          <w:rFonts w:cs="Times New Roman"/>
          <w:b/>
          <w:bCs/>
          <w:caps/>
          <w:color w:val="000000"/>
          <w:szCs w:val="24"/>
          <w:lang w:val="en-US"/>
        </w:rPr>
        <w:t xml:space="preserve"> </w:t>
      </w:r>
      <w:r w:rsidRPr="00112DB6">
        <w:rPr>
          <w:rFonts w:cs="Times New Roman"/>
          <w:szCs w:val="24"/>
          <w:lang w:val="en-US"/>
        </w:rPr>
        <w:t>population-based linked cohort study (</w:t>
      </w:r>
      <w:proofErr w:type="spellStart"/>
      <w:r w:rsidRPr="00112DB6">
        <w:rPr>
          <w:rFonts w:cs="Times New Roman"/>
          <w:szCs w:val="24"/>
          <w:lang w:val="en-US"/>
        </w:rPr>
        <w:t>EUROlinkCAT</w:t>
      </w:r>
      <w:proofErr w:type="spellEnd"/>
      <w:r w:rsidRPr="00112DB6">
        <w:rPr>
          <w:rFonts w:cs="Times New Roman"/>
          <w:szCs w:val="24"/>
          <w:lang w:val="en-US"/>
        </w:rPr>
        <w:t xml:space="preserve">) linked data </w:t>
      </w:r>
      <w:r w:rsidRPr="00112DB6">
        <w:rPr>
          <w:rFonts w:cs="Times New Roman"/>
          <w:color w:val="000000"/>
          <w:szCs w:val="24"/>
          <w:lang w:val="en-US"/>
        </w:rPr>
        <w:t xml:space="preserve">on live births during 2005-2014 </w:t>
      </w:r>
      <w:r w:rsidRPr="00112DB6">
        <w:rPr>
          <w:rFonts w:cs="Times New Roman"/>
          <w:szCs w:val="24"/>
          <w:lang w:val="en-US"/>
        </w:rPr>
        <w:t>from 13 European congenital anomaly registries with mortality data.</w:t>
      </w:r>
      <w:r w:rsidRPr="00112DB6">
        <w:rPr>
          <w:rFonts w:cs="Times New Roman"/>
          <w:color w:val="000000"/>
          <w:szCs w:val="24"/>
          <w:lang w:val="en-US"/>
        </w:rPr>
        <w:t xml:space="preserve"> Pooled Kaplan-Meier survival estimates up to 10 years of age </w:t>
      </w:r>
      <w:proofErr w:type="gramStart"/>
      <w:r w:rsidRPr="00112DB6">
        <w:rPr>
          <w:rFonts w:cs="Times New Roman"/>
          <w:color w:val="000000"/>
          <w:szCs w:val="24"/>
          <w:lang w:val="en-US"/>
        </w:rPr>
        <w:t>were calculated</w:t>
      </w:r>
      <w:proofErr w:type="gramEnd"/>
      <w:r w:rsidRPr="00112DB6">
        <w:rPr>
          <w:rFonts w:cs="Times New Roman"/>
          <w:color w:val="000000"/>
          <w:szCs w:val="24"/>
          <w:lang w:val="en-US"/>
        </w:rPr>
        <w:t xml:space="preserve"> for these children </w:t>
      </w:r>
      <w:r w:rsidRPr="00112DB6">
        <w:rPr>
          <w:rFonts w:cs="Times New Roman"/>
          <w:szCs w:val="24"/>
          <w:lang w:val="en-US"/>
        </w:rPr>
        <w:t>(</w:t>
      </w:r>
      <w:r w:rsidRPr="00112DB6">
        <w:rPr>
          <w:rFonts w:cs="Times New Roman"/>
          <w:color w:val="000000"/>
          <w:szCs w:val="24"/>
          <w:lang w:val="en-US"/>
        </w:rPr>
        <w:t>77,054 children with isolated structural anomalies and 4,011 children with Down syndrome)</w:t>
      </w:r>
      <w:r w:rsidRPr="00112DB6">
        <w:rPr>
          <w:rFonts w:cs="Times New Roman"/>
          <w:szCs w:val="24"/>
          <w:lang w:val="en-US"/>
        </w:rPr>
        <w:t>.</w:t>
      </w:r>
    </w:p>
    <w:p w14:paraId="47F609A8" w14:textId="07E29F15" w:rsidR="0064507B" w:rsidRPr="00112DB6" w:rsidRDefault="0064507B" w:rsidP="009E51EE">
      <w:pPr>
        <w:spacing w:before="0" w:after="0" w:line="240" w:lineRule="auto"/>
        <w:rPr>
          <w:rFonts w:cs="Times New Roman"/>
          <w:b/>
          <w:bCs/>
          <w:color w:val="000000"/>
          <w:szCs w:val="24"/>
          <w:lang w:val="en-US"/>
        </w:rPr>
      </w:pPr>
      <w:r w:rsidRPr="00112DB6">
        <w:rPr>
          <w:rFonts w:cs="Times New Roman"/>
          <w:b/>
          <w:bCs/>
          <w:caps/>
          <w:color w:val="000000"/>
          <w:szCs w:val="24"/>
          <w:lang w:val="en-US"/>
        </w:rPr>
        <w:t>Results:</w:t>
      </w:r>
      <w:r w:rsidRPr="00112DB6">
        <w:rPr>
          <w:rFonts w:cs="Times New Roman"/>
          <w:b/>
          <w:bCs/>
          <w:color w:val="000000"/>
          <w:szCs w:val="24"/>
          <w:lang w:val="en-US"/>
        </w:rPr>
        <w:t xml:space="preserve"> </w:t>
      </w:r>
      <w:r w:rsidRPr="00112DB6">
        <w:rPr>
          <w:rFonts w:cs="Times New Roman"/>
          <w:szCs w:val="24"/>
          <w:lang w:val="en-US"/>
        </w:rPr>
        <w:t>The highest mortality of children with isolated structural congenital anomalies was within infancy, with survival of 97.3% (95% CI</w:t>
      </w:r>
      <w:r w:rsidR="00187E7B">
        <w:rPr>
          <w:rFonts w:cs="Times New Roman"/>
          <w:szCs w:val="24"/>
          <w:lang w:val="en-US"/>
        </w:rPr>
        <w:t>:</w:t>
      </w:r>
      <w:r w:rsidRPr="00112DB6">
        <w:rPr>
          <w:rFonts w:cs="Times New Roman"/>
          <w:szCs w:val="24"/>
          <w:lang w:val="en-US"/>
        </w:rPr>
        <w:t xml:space="preserve"> 96.6-98.1) and 96.9% (95% CI</w:t>
      </w:r>
      <w:r w:rsidR="00187E7B">
        <w:rPr>
          <w:rFonts w:cs="Times New Roman"/>
          <w:szCs w:val="24"/>
          <w:lang w:val="en-US"/>
        </w:rPr>
        <w:t>:</w:t>
      </w:r>
      <w:r w:rsidRPr="00112DB6">
        <w:rPr>
          <w:rFonts w:cs="Times New Roman"/>
          <w:szCs w:val="24"/>
          <w:lang w:val="en-US"/>
        </w:rPr>
        <w:t xml:space="preserve"> 96.0-97.7) at age 1 and 10 years, respectively. The 10-year survival exceeded 90% for the majority of specific congenital anomalies (27/32), </w:t>
      </w:r>
      <w:r w:rsidRPr="00112DB6">
        <w:rPr>
          <w:lang w:val="en-US"/>
        </w:rPr>
        <w:t>with considerable variations between congenital anomalies of different severity.</w:t>
      </w:r>
      <w:r w:rsidRPr="00112DB6">
        <w:rPr>
          <w:rFonts w:cs="Times New Roman"/>
          <w:szCs w:val="24"/>
          <w:lang w:val="en-US"/>
        </w:rPr>
        <w:t xml:space="preserve"> Survival of children with a specific isolated anomaly was higher than in all children with the same anomaly when those with associated anomalies were included. For children with Down syndrome, </w:t>
      </w:r>
      <w:r w:rsidRPr="00112DB6">
        <w:rPr>
          <w:szCs w:val="24"/>
          <w:lang w:val="en-US"/>
        </w:rPr>
        <w:t>the 10-year survival was significantly higher for those without associated cardiac or digestive system anomalies (</w:t>
      </w:r>
      <w:r w:rsidRPr="00112DB6">
        <w:rPr>
          <w:rFonts w:cs="Times New Roman"/>
          <w:szCs w:val="24"/>
          <w:lang w:val="en-US"/>
        </w:rPr>
        <w:t>97.6%; 95% CI</w:t>
      </w:r>
      <w:r w:rsidR="00187E7B">
        <w:rPr>
          <w:rFonts w:cs="Times New Roman"/>
          <w:szCs w:val="24"/>
          <w:lang w:val="en-US"/>
        </w:rPr>
        <w:t>:</w:t>
      </w:r>
      <w:r w:rsidRPr="00112DB6">
        <w:rPr>
          <w:rFonts w:cs="Times New Roman"/>
          <w:szCs w:val="24"/>
          <w:lang w:val="en-US"/>
        </w:rPr>
        <w:t xml:space="preserve"> 96.5-98.7)</w:t>
      </w:r>
      <w:r w:rsidRPr="00112DB6">
        <w:rPr>
          <w:szCs w:val="24"/>
          <w:lang w:val="en-US"/>
        </w:rPr>
        <w:t xml:space="preserve"> compared to children with Down syndrome associated with a cardiac anomaly (92.3%; 95% CI</w:t>
      </w:r>
      <w:r w:rsidR="00187E7B">
        <w:rPr>
          <w:szCs w:val="24"/>
          <w:lang w:val="en-US"/>
        </w:rPr>
        <w:t>:</w:t>
      </w:r>
      <w:r w:rsidRPr="00112DB6">
        <w:rPr>
          <w:szCs w:val="24"/>
          <w:lang w:val="en-US"/>
        </w:rPr>
        <w:t xml:space="preserve"> 89.4-95.3), digestive system anomaly (</w:t>
      </w:r>
      <w:r w:rsidRPr="00112DB6">
        <w:rPr>
          <w:rFonts w:cs="Times New Roman"/>
          <w:szCs w:val="24"/>
          <w:lang w:val="en-US"/>
        </w:rPr>
        <w:t>92.8%; 95% CI</w:t>
      </w:r>
      <w:r w:rsidR="00187E7B">
        <w:rPr>
          <w:rFonts w:cs="Times New Roman"/>
          <w:szCs w:val="24"/>
          <w:lang w:val="en-US"/>
        </w:rPr>
        <w:t>:</w:t>
      </w:r>
      <w:r w:rsidRPr="00112DB6">
        <w:rPr>
          <w:rFonts w:cs="Times New Roman"/>
          <w:szCs w:val="24"/>
          <w:lang w:val="en-US"/>
        </w:rPr>
        <w:t xml:space="preserve"> 87.7-98.2)</w:t>
      </w:r>
      <w:r w:rsidRPr="00112DB6">
        <w:rPr>
          <w:rFonts w:cs="Times New Roman"/>
          <w:sz w:val="20"/>
          <w:szCs w:val="20"/>
          <w:lang w:val="en-US"/>
        </w:rPr>
        <w:t xml:space="preserve"> </w:t>
      </w:r>
      <w:r w:rsidRPr="00112DB6">
        <w:rPr>
          <w:szCs w:val="24"/>
          <w:lang w:val="en-US"/>
        </w:rPr>
        <w:t>or both (</w:t>
      </w:r>
      <w:r w:rsidRPr="00112DB6">
        <w:rPr>
          <w:iCs/>
          <w:caps/>
          <w:szCs w:val="24"/>
          <w:lang w:val="en-US"/>
        </w:rPr>
        <w:t>88.6%; 95% CI</w:t>
      </w:r>
      <w:r w:rsidR="00187E7B">
        <w:rPr>
          <w:iCs/>
          <w:caps/>
          <w:szCs w:val="24"/>
          <w:lang w:val="en-US"/>
        </w:rPr>
        <w:t>:</w:t>
      </w:r>
      <w:r w:rsidRPr="00112DB6">
        <w:rPr>
          <w:iCs/>
          <w:caps/>
          <w:szCs w:val="24"/>
          <w:lang w:val="en-US"/>
        </w:rPr>
        <w:t xml:space="preserve"> 83.2-94.3</w:t>
      </w:r>
      <w:r w:rsidRPr="00112DB6">
        <w:rPr>
          <w:szCs w:val="24"/>
          <w:lang w:val="en-US"/>
        </w:rPr>
        <w:t>).</w:t>
      </w:r>
    </w:p>
    <w:p w14:paraId="44DD5875" w14:textId="77777777" w:rsidR="0064507B" w:rsidRPr="00112DB6" w:rsidRDefault="0064507B" w:rsidP="009E51EE">
      <w:pPr>
        <w:spacing w:before="0" w:after="0" w:line="240" w:lineRule="auto"/>
        <w:rPr>
          <w:rFonts w:cs="Times New Roman"/>
          <w:b/>
          <w:bCs/>
          <w:szCs w:val="24"/>
          <w:lang w:val="en-US"/>
        </w:rPr>
      </w:pPr>
      <w:r w:rsidRPr="00112DB6">
        <w:rPr>
          <w:rFonts w:cs="Times New Roman"/>
          <w:b/>
          <w:bCs/>
          <w:color w:val="000000"/>
          <w:szCs w:val="24"/>
          <w:lang w:val="en-US"/>
        </w:rPr>
        <w:t>C</w:t>
      </w:r>
      <w:r w:rsidRPr="00112DB6">
        <w:rPr>
          <w:rFonts w:cs="Times New Roman"/>
          <w:b/>
          <w:bCs/>
          <w:caps/>
          <w:color w:val="000000"/>
          <w:szCs w:val="24"/>
          <w:lang w:val="en-US"/>
        </w:rPr>
        <w:t xml:space="preserve">onclusions: </w:t>
      </w:r>
      <w:r w:rsidRPr="00112DB6">
        <w:rPr>
          <w:rFonts w:cs="Times New Roman"/>
          <w:color w:val="000000"/>
          <w:szCs w:val="24"/>
          <w:lang w:val="en-US"/>
        </w:rPr>
        <w:t>Ten-year s</w:t>
      </w:r>
      <w:r w:rsidRPr="00112DB6">
        <w:rPr>
          <w:lang w:val="en-US"/>
        </w:rPr>
        <w:t xml:space="preserve">urvival of children born with </w:t>
      </w:r>
      <w:r w:rsidRPr="00112DB6">
        <w:rPr>
          <w:rFonts w:cs="Times New Roman"/>
          <w:szCs w:val="24"/>
          <w:lang w:val="en-US"/>
        </w:rPr>
        <w:t>congenital anomalie</w:t>
      </w:r>
      <w:r w:rsidRPr="00112DB6">
        <w:rPr>
          <w:lang w:val="en-US"/>
        </w:rPr>
        <w:t xml:space="preserve">s in Western Europe during 2005-2014 was relatively high. Reliable information on long-term survival of children born with specific </w:t>
      </w:r>
      <w:r w:rsidRPr="00112DB6">
        <w:rPr>
          <w:rFonts w:cs="Times New Roman"/>
          <w:szCs w:val="24"/>
          <w:lang w:val="en-US"/>
        </w:rPr>
        <w:t>congenital anomalies</w:t>
      </w:r>
      <w:r w:rsidRPr="00112DB6">
        <w:rPr>
          <w:lang w:val="en-US"/>
        </w:rPr>
        <w:t xml:space="preserve"> is of major importance for parents of these children and for the health care professionals involved in their care.</w:t>
      </w:r>
    </w:p>
    <w:p w14:paraId="7A9765F4" w14:textId="6E2CFC82" w:rsidR="0064507B" w:rsidRPr="00112DB6" w:rsidRDefault="0064507B" w:rsidP="00B050F5">
      <w:pPr>
        <w:pStyle w:val="Heading1"/>
        <w:spacing w:before="0"/>
        <w:rPr>
          <w:rFonts w:cs="Times New Roman"/>
          <w:szCs w:val="24"/>
          <w:lang w:val="en-US"/>
        </w:rPr>
      </w:pPr>
      <w:bookmarkStart w:id="2" w:name="_Hlk77943067"/>
      <w:r w:rsidRPr="00112DB6">
        <w:rPr>
          <w:rFonts w:cs="Times New Roman"/>
          <w:b w:val="0"/>
          <w:bCs/>
          <w:szCs w:val="24"/>
          <w:lang w:val="en-US"/>
        </w:rPr>
        <w:lastRenderedPageBreak/>
        <w:t>Congenital anomalies (CAs) are a major cause of perinatal, neonatal and infant mortality in high-income countries, including the USA and Western European countires.</w:t>
      </w:r>
      <w:r w:rsidRPr="00112DB6">
        <w:rPr>
          <w:rFonts w:cs="Times New Roman"/>
          <w:b w:val="0"/>
          <w:bCs/>
          <w:szCs w:val="24"/>
          <w:vertAlign w:val="superscript"/>
          <w:lang w:val="en-US"/>
        </w:rPr>
        <w:t>1-4</w:t>
      </w:r>
      <w:r w:rsidRPr="00112DB6">
        <w:rPr>
          <w:rFonts w:cs="Times New Roman"/>
          <w:b w:val="0"/>
          <w:bCs/>
          <w:szCs w:val="24"/>
          <w:lang w:val="en-US"/>
        </w:rPr>
        <w:t xml:space="preserve"> Their contribution to mortality in children under 5 years</w:t>
      </w:r>
      <w:r w:rsidRPr="00112DB6">
        <w:rPr>
          <w:rFonts w:cs="Times New Roman"/>
          <w:b w:val="0"/>
          <w:bCs/>
          <w:szCs w:val="24"/>
          <w:vertAlign w:val="superscript"/>
          <w:lang w:val="en-US"/>
        </w:rPr>
        <w:t>5</w:t>
      </w:r>
      <w:proofErr w:type="gramStart"/>
      <w:r w:rsidRPr="00112DB6">
        <w:rPr>
          <w:rFonts w:cs="Times New Roman"/>
          <w:b w:val="0"/>
          <w:bCs/>
          <w:szCs w:val="24"/>
          <w:vertAlign w:val="superscript"/>
          <w:lang w:val="en-US"/>
        </w:rPr>
        <w:t>,6</w:t>
      </w:r>
      <w:proofErr w:type="gramEnd"/>
      <w:r w:rsidRPr="00112DB6">
        <w:rPr>
          <w:rFonts w:cs="Times New Roman"/>
          <w:b w:val="0"/>
          <w:bCs/>
          <w:szCs w:val="24"/>
          <w:lang w:val="en-US"/>
        </w:rPr>
        <w:t xml:space="preserve"> and in older children</w:t>
      </w:r>
      <w:r w:rsidRPr="00112DB6">
        <w:rPr>
          <w:rFonts w:cs="Times New Roman"/>
          <w:b w:val="0"/>
          <w:bCs/>
          <w:szCs w:val="24"/>
          <w:vertAlign w:val="superscript"/>
          <w:lang w:val="en-US"/>
        </w:rPr>
        <w:t>7</w:t>
      </w:r>
      <w:r w:rsidRPr="00112DB6">
        <w:rPr>
          <w:rFonts w:cs="Times New Roman"/>
          <w:b w:val="0"/>
          <w:bCs/>
          <w:szCs w:val="24"/>
          <w:lang w:val="en-US"/>
        </w:rPr>
        <w:t xml:space="preserve"> is also significant. </w:t>
      </w:r>
      <w:proofErr w:type="gramStart"/>
      <w:r w:rsidRPr="00112DB6">
        <w:rPr>
          <w:rFonts w:cs="Times New Roman"/>
          <w:b w:val="0"/>
          <w:bCs/>
          <w:szCs w:val="24"/>
          <w:lang w:val="en-US"/>
        </w:rPr>
        <w:t xml:space="preserve">Evidence from a 15-year time trend analysis (2001-2015) of preventable child mortality in 34 members of the </w:t>
      </w:r>
      <w:proofErr w:type="spellStart"/>
      <w:r w:rsidRPr="00112DB6">
        <w:rPr>
          <w:rFonts w:cs="Times New Roman"/>
          <w:b w:val="0"/>
          <w:bCs/>
          <w:szCs w:val="24"/>
          <w:lang w:val="en-US"/>
        </w:rPr>
        <w:t>Organisation</w:t>
      </w:r>
      <w:proofErr w:type="spellEnd"/>
      <w:r w:rsidRPr="00112DB6">
        <w:rPr>
          <w:rFonts w:cs="Times New Roman"/>
          <w:b w:val="0"/>
          <w:bCs/>
          <w:szCs w:val="24"/>
          <w:lang w:val="en-US"/>
        </w:rPr>
        <w:t xml:space="preserve"> for Economic Co-operation and Development, including the USA, Canada, Japan, Australia, New Zealand and Europe, showed that congenital heart defects (CHDs) were the second leading cause of mortality in infancy (&lt;1 year), the leading cause of mortality in children aged 1-4 years and the third cause in older children (5-14 years old).</w:t>
      </w:r>
      <w:r w:rsidRPr="00112DB6">
        <w:rPr>
          <w:rFonts w:cs="Times New Roman"/>
          <w:b w:val="0"/>
          <w:bCs/>
          <w:szCs w:val="24"/>
          <w:vertAlign w:val="superscript"/>
          <w:lang w:val="en-US"/>
        </w:rPr>
        <w:t>8</w:t>
      </w:r>
      <w:r w:rsidRPr="00112DB6">
        <w:rPr>
          <w:rFonts w:cs="Times New Roman"/>
          <w:b w:val="0"/>
          <w:bCs/>
          <w:szCs w:val="24"/>
          <w:lang w:val="en-US"/>
        </w:rPr>
        <w:t xml:space="preserve"> Globally, following a reduction of child mortality due to communicable diseases, the relative contribution of CAs to child mortality is increasing.</w:t>
      </w:r>
      <w:r w:rsidRPr="00112DB6">
        <w:rPr>
          <w:rFonts w:cs="Times New Roman"/>
          <w:b w:val="0"/>
          <w:bCs/>
          <w:szCs w:val="24"/>
          <w:vertAlign w:val="superscript"/>
          <w:lang w:val="en-US"/>
        </w:rPr>
        <w:t>6,9,10</w:t>
      </w:r>
      <w:r w:rsidRPr="00112DB6">
        <w:rPr>
          <w:rFonts w:cs="Times New Roman"/>
          <w:b w:val="0"/>
          <w:bCs/>
          <w:szCs w:val="24"/>
          <w:lang w:val="en-US"/>
        </w:rPr>
        <w:t xml:space="preserve"> Despite the global decline in infant and child mortality,</w:t>
      </w:r>
      <w:r w:rsidRPr="00112DB6">
        <w:rPr>
          <w:rFonts w:cs="Times New Roman"/>
          <w:b w:val="0"/>
          <w:bCs/>
          <w:szCs w:val="24"/>
          <w:vertAlign w:val="superscript"/>
          <w:lang w:val="en-US"/>
        </w:rPr>
        <w:t>9,11</w:t>
      </w:r>
      <w:r w:rsidRPr="00112DB6">
        <w:rPr>
          <w:rFonts w:cs="Times New Roman"/>
          <w:b w:val="0"/>
          <w:bCs/>
          <w:szCs w:val="24"/>
          <w:lang w:val="en-US"/>
        </w:rPr>
        <w:t xml:space="preserve"> a large variation in child death rates exists between countries, </w:t>
      </w:r>
      <w:bookmarkStart w:id="3" w:name="_Hlk82789239"/>
      <w:r w:rsidRPr="00112DB6">
        <w:rPr>
          <w:rFonts w:cs="Times New Roman"/>
          <w:b w:val="0"/>
          <w:bCs/>
          <w:szCs w:val="24"/>
          <w:lang w:val="en-US"/>
        </w:rPr>
        <w:t>including Western Europe.</w:t>
      </w:r>
      <w:r w:rsidRPr="00112DB6">
        <w:rPr>
          <w:rFonts w:cs="Times New Roman"/>
          <w:b w:val="0"/>
          <w:bCs/>
          <w:szCs w:val="24"/>
          <w:vertAlign w:val="superscript"/>
          <w:lang w:val="en-US"/>
        </w:rPr>
        <w:t>12</w:t>
      </w:r>
      <w:r w:rsidRPr="00112DB6">
        <w:rPr>
          <w:rFonts w:cs="Times New Roman"/>
          <w:b w:val="0"/>
          <w:bCs/>
          <w:szCs w:val="24"/>
          <w:lang w:val="en-US"/>
        </w:rPr>
        <w:t xml:space="preserve"> Due to considerable length and costs of long-term follow-up studies, there is less research on survival beyond the first year of life, </w:t>
      </w:r>
      <w:r w:rsidRPr="00112DB6">
        <w:rPr>
          <w:rFonts w:eastAsia="ScalaLancetPro" w:cs="Times New Roman"/>
          <w:b w:val="0"/>
          <w:bCs/>
          <w:szCs w:val="24"/>
          <w:lang w:val="en-US"/>
        </w:rPr>
        <w:t>particularly for</w:t>
      </w:r>
      <w:r w:rsidRPr="00112DB6">
        <w:rPr>
          <w:rFonts w:cs="Times New Roman"/>
          <w:b w:val="0"/>
          <w:bCs/>
          <w:szCs w:val="24"/>
          <w:lang w:val="en-US"/>
        </w:rPr>
        <w:t xml:space="preserve"> rare types of CAs.</w:t>
      </w:r>
      <w:proofErr w:type="gramEnd"/>
      <w:r w:rsidRPr="00112DB6">
        <w:rPr>
          <w:rFonts w:cs="Times New Roman"/>
          <w:b w:val="0"/>
          <w:bCs/>
          <w:szCs w:val="24"/>
          <w:lang w:val="en-US"/>
        </w:rPr>
        <w:t xml:space="preserve"> </w:t>
      </w:r>
      <w:r w:rsidR="00E24F09" w:rsidRPr="00E24F09">
        <w:rPr>
          <w:rFonts w:cs="Times New Roman"/>
          <w:b w:val="0"/>
          <w:bCs/>
          <w:szCs w:val="24"/>
          <w:highlight w:val="yellow"/>
          <w:lang w:val="en-US"/>
        </w:rPr>
        <w:t>We found</w:t>
      </w:r>
      <w:r w:rsidR="00E24F09">
        <w:rPr>
          <w:rFonts w:cs="Times New Roman"/>
          <w:b w:val="0"/>
          <w:bCs/>
          <w:szCs w:val="24"/>
          <w:lang w:val="en-US"/>
        </w:rPr>
        <w:t xml:space="preserve"> </w:t>
      </w:r>
      <w:r w:rsidRPr="00112DB6">
        <w:rPr>
          <w:rFonts w:cs="Times New Roman"/>
          <w:b w:val="0"/>
          <w:bCs/>
          <w:szCs w:val="24"/>
          <w:lang w:val="en-US"/>
        </w:rPr>
        <w:t xml:space="preserve">no </w:t>
      </w:r>
      <w:r w:rsidR="0046454C" w:rsidRPr="0046454C">
        <w:rPr>
          <w:rFonts w:cs="Times New Roman"/>
          <w:b w:val="0"/>
          <w:bCs/>
          <w:szCs w:val="24"/>
          <w:highlight w:val="yellow"/>
          <w:lang w:val="en-US"/>
        </w:rPr>
        <w:t>published</w:t>
      </w:r>
      <w:r w:rsidR="0046454C">
        <w:rPr>
          <w:rFonts w:cs="Times New Roman"/>
          <w:b w:val="0"/>
          <w:bCs/>
          <w:szCs w:val="24"/>
          <w:lang w:val="en-US"/>
        </w:rPr>
        <w:t xml:space="preserve"> </w:t>
      </w:r>
      <w:r w:rsidRPr="00112DB6">
        <w:rPr>
          <w:rFonts w:cs="Times New Roman"/>
          <w:b w:val="0"/>
          <w:bCs/>
          <w:szCs w:val="24"/>
          <w:lang w:val="en-US"/>
        </w:rPr>
        <w:t xml:space="preserve">studies from Western Europe </w:t>
      </w:r>
      <w:r w:rsidR="0046454C" w:rsidRPr="0046454C">
        <w:rPr>
          <w:rFonts w:cs="Times New Roman"/>
          <w:b w:val="0"/>
          <w:bCs/>
          <w:szCs w:val="24"/>
          <w:highlight w:val="yellow"/>
          <w:lang w:val="en-US"/>
        </w:rPr>
        <w:t>that</w:t>
      </w:r>
      <w:r w:rsidR="0046454C">
        <w:rPr>
          <w:rFonts w:cs="Times New Roman"/>
          <w:b w:val="0"/>
          <w:bCs/>
          <w:szCs w:val="24"/>
          <w:lang w:val="en-US"/>
        </w:rPr>
        <w:t xml:space="preserve"> </w:t>
      </w:r>
      <w:r w:rsidRPr="00112DB6">
        <w:rPr>
          <w:rFonts w:cs="Times New Roman"/>
          <w:b w:val="0"/>
          <w:bCs/>
          <w:szCs w:val="24"/>
          <w:lang w:val="en-US"/>
        </w:rPr>
        <w:t>summariz</w:t>
      </w:r>
      <w:r w:rsidR="0046454C" w:rsidRPr="0046454C">
        <w:rPr>
          <w:rFonts w:cs="Times New Roman"/>
          <w:b w:val="0"/>
          <w:bCs/>
          <w:szCs w:val="24"/>
          <w:highlight w:val="yellow"/>
          <w:lang w:val="en-US"/>
        </w:rPr>
        <w:t>ed</w:t>
      </w:r>
      <w:r w:rsidRPr="00112DB6">
        <w:rPr>
          <w:rFonts w:cs="Times New Roman"/>
          <w:b w:val="0"/>
          <w:bCs/>
          <w:szCs w:val="24"/>
          <w:lang w:val="en-US"/>
        </w:rPr>
        <w:t xml:space="preserve"> and compar</w:t>
      </w:r>
      <w:r w:rsidR="0046454C" w:rsidRPr="0046454C">
        <w:rPr>
          <w:rFonts w:cs="Times New Roman"/>
          <w:b w:val="0"/>
          <w:bCs/>
          <w:szCs w:val="24"/>
          <w:highlight w:val="yellow"/>
          <w:lang w:val="en-US"/>
        </w:rPr>
        <w:t>ed</w:t>
      </w:r>
      <w:r w:rsidR="0046454C">
        <w:rPr>
          <w:rFonts w:cs="Times New Roman"/>
          <w:b w:val="0"/>
          <w:bCs/>
          <w:szCs w:val="24"/>
          <w:lang w:val="en-US"/>
        </w:rPr>
        <w:t xml:space="preserve"> </w:t>
      </w:r>
      <w:r w:rsidRPr="00112DB6">
        <w:rPr>
          <w:rFonts w:cs="Times New Roman"/>
          <w:b w:val="0"/>
          <w:bCs/>
          <w:szCs w:val="24"/>
          <w:lang w:val="en-US"/>
        </w:rPr>
        <w:t>survival of children with specific CAs aged beyond one year. Given that the significantly increased mortality of children born with CAs compared to the general population is not restricted to infancy</w:t>
      </w:r>
      <w:proofErr w:type="gramStart"/>
      <w:r w:rsidRPr="00112DB6">
        <w:rPr>
          <w:rFonts w:cs="Times New Roman"/>
          <w:b w:val="0"/>
          <w:bCs/>
          <w:szCs w:val="24"/>
          <w:lang w:val="en-US"/>
        </w:rPr>
        <w:t>,</w:t>
      </w:r>
      <w:r w:rsidRPr="00112DB6">
        <w:rPr>
          <w:rFonts w:cs="Times New Roman"/>
          <w:b w:val="0"/>
          <w:bCs/>
          <w:szCs w:val="24"/>
          <w:vertAlign w:val="superscript"/>
          <w:lang w:val="en-US"/>
        </w:rPr>
        <w:t>13,14</w:t>
      </w:r>
      <w:proofErr w:type="gramEnd"/>
      <w:r w:rsidRPr="00112DB6">
        <w:rPr>
          <w:rFonts w:cs="Times New Roman"/>
          <w:b w:val="0"/>
          <w:bCs/>
          <w:szCs w:val="24"/>
          <w:lang w:val="en-US"/>
        </w:rPr>
        <w:t xml:space="preserve"> this research is of major public health importance.</w:t>
      </w:r>
    </w:p>
    <w:p w14:paraId="1D2F3F99" w14:textId="77777777" w:rsidR="0064507B" w:rsidRPr="00112DB6" w:rsidRDefault="0064507B" w:rsidP="00BA55DA">
      <w:pPr>
        <w:spacing w:before="360" w:after="0"/>
        <w:rPr>
          <w:rFonts w:cs="Times New Roman"/>
          <w:szCs w:val="24"/>
          <w:lang w:val="en-US"/>
        </w:rPr>
      </w:pPr>
      <w:r w:rsidRPr="00112DB6">
        <w:rPr>
          <w:rFonts w:cs="Times New Roman"/>
          <w:szCs w:val="24"/>
          <w:lang w:val="en-US"/>
        </w:rPr>
        <w:t xml:space="preserve">This multicenter population-based linked cohort European study aimed to investigate the </w:t>
      </w:r>
      <w:bookmarkEnd w:id="3"/>
      <w:r w:rsidRPr="00112DB6">
        <w:rPr>
          <w:rFonts w:cs="Times New Roman"/>
          <w:szCs w:val="24"/>
          <w:lang w:val="en-US"/>
        </w:rPr>
        <w:t xml:space="preserve">survival up to 10 years </w:t>
      </w:r>
      <w:bookmarkStart w:id="4" w:name="_GoBack"/>
      <w:bookmarkEnd w:id="4"/>
      <w:r w:rsidRPr="00112DB6">
        <w:rPr>
          <w:rFonts w:cs="Times New Roman"/>
          <w:szCs w:val="24"/>
          <w:lang w:val="en-US"/>
        </w:rPr>
        <w:t>of age of children born with a major CA during 2005-2014 by linking data on live births from 13 EUROCAT (European network for the epidemiological surveillance of CAs</w:t>
      </w:r>
      <w:r w:rsidRPr="00112DB6">
        <w:rPr>
          <w:rFonts w:cs="Times New Roman"/>
          <w:szCs w:val="24"/>
          <w:vertAlign w:val="superscript"/>
          <w:lang w:val="en-US"/>
        </w:rPr>
        <w:t>15</w:t>
      </w:r>
      <w:proofErr w:type="gramStart"/>
      <w:r w:rsidRPr="00112DB6">
        <w:rPr>
          <w:rFonts w:cs="Times New Roman"/>
          <w:szCs w:val="24"/>
          <w:vertAlign w:val="superscript"/>
          <w:lang w:val="en-US"/>
        </w:rPr>
        <w:t>,16</w:t>
      </w:r>
      <w:proofErr w:type="gramEnd"/>
      <w:r w:rsidRPr="00112DB6">
        <w:rPr>
          <w:rFonts w:cs="Times New Roman"/>
          <w:szCs w:val="24"/>
          <w:lang w:val="en-US"/>
        </w:rPr>
        <w:t xml:space="preserve">) registries to mortality data. This study was part of </w:t>
      </w:r>
      <w:r w:rsidRPr="00112DB6">
        <w:rPr>
          <w:rFonts w:cstheme="minorHAnsi"/>
          <w:lang w:val="en-US"/>
        </w:rPr>
        <w:t xml:space="preserve">the </w:t>
      </w:r>
      <w:proofErr w:type="spellStart"/>
      <w:r w:rsidRPr="00112DB6">
        <w:rPr>
          <w:rFonts w:cstheme="minorHAnsi"/>
          <w:lang w:val="en-US"/>
        </w:rPr>
        <w:t>EUROlinkCAT</w:t>
      </w:r>
      <w:proofErr w:type="spellEnd"/>
      <w:r w:rsidRPr="00112DB6">
        <w:rPr>
          <w:rFonts w:cstheme="minorHAnsi"/>
          <w:lang w:val="en-US"/>
        </w:rPr>
        <w:t xml:space="preserve"> project that aimed to investigate the survival, morbidity and educational outcomes of European children born with major CAs by linking live births with CAs to electronic administrative, healthcare and education databases.</w:t>
      </w:r>
      <w:r w:rsidRPr="00112DB6">
        <w:rPr>
          <w:rFonts w:cstheme="minorHAnsi"/>
          <w:vertAlign w:val="superscript"/>
          <w:lang w:val="en-US"/>
        </w:rPr>
        <w:t>17</w:t>
      </w:r>
      <w:r w:rsidRPr="00112DB6">
        <w:rPr>
          <w:rFonts w:cstheme="minorHAnsi"/>
          <w:lang w:val="en-US"/>
        </w:rPr>
        <w:t xml:space="preserve"> </w:t>
      </w:r>
    </w:p>
    <w:p w14:paraId="38A79119" w14:textId="77777777" w:rsidR="0064507B" w:rsidRPr="00112DB6" w:rsidRDefault="0064507B" w:rsidP="00BA55DA">
      <w:pPr>
        <w:pStyle w:val="Heading1"/>
        <w:rPr>
          <w:rFonts w:cs="Times New Roman"/>
          <w:sz w:val="28"/>
          <w:szCs w:val="28"/>
          <w:lang w:val="en-US"/>
        </w:rPr>
      </w:pPr>
      <w:r w:rsidRPr="00112DB6">
        <w:rPr>
          <w:rFonts w:cs="Times New Roman"/>
          <w:bCs/>
          <w:sz w:val="28"/>
          <w:szCs w:val="28"/>
          <w:lang w:val="en-US"/>
        </w:rPr>
        <w:lastRenderedPageBreak/>
        <w:t>METHODS</w:t>
      </w:r>
    </w:p>
    <w:p w14:paraId="0F762E9F" w14:textId="77777777" w:rsidR="0064507B" w:rsidRPr="00112DB6" w:rsidRDefault="0064507B" w:rsidP="00BA55DA">
      <w:pPr>
        <w:pStyle w:val="Heading2"/>
        <w:spacing w:before="120"/>
        <w:rPr>
          <w:rFonts w:cs="Times New Roman"/>
          <w:sz w:val="26"/>
          <w:lang w:val="en-US"/>
        </w:rPr>
      </w:pPr>
      <w:r w:rsidRPr="00112DB6">
        <w:rPr>
          <w:rFonts w:cs="Times New Roman"/>
          <w:sz w:val="26"/>
          <w:lang w:val="en-US"/>
        </w:rPr>
        <w:t>Setting and Population</w:t>
      </w:r>
    </w:p>
    <w:p w14:paraId="43E748A0" w14:textId="77777777" w:rsidR="0064507B" w:rsidRPr="00112DB6" w:rsidRDefault="0064507B" w:rsidP="00BA55DA">
      <w:pPr>
        <w:spacing w:after="0"/>
        <w:rPr>
          <w:rFonts w:cs="Times New Roman"/>
          <w:szCs w:val="24"/>
          <w:lang w:val="en-US"/>
        </w:rPr>
      </w:pPr>
      <w:proofErr w:type="gramStart"/>
      <w:r w:rsidRPr="00112DB6">
        <w:rPr>
          <w:rFonts w:cs="Times New Roman"/>
          <w:szCs w:val="24"/>
          <w:lang w:val="en-US"/>
        </w:rPr>
        <w:t xml:space="preserve">Initially, 21 population-based EUROCAT registries agreed to participate in the </w:t>
      </w:r>
      <w:proofErr w:type="spellStart"/>
      <w:r w:rsidRPr="00112DB6">
        <w:rPr>
          <w:rFonts w:cs="Times New Roman"/>
          <w:szCs w:val="24"/>
          <w:lang w:val="en-US"/>
        </w:rPr>
        <w:t>EUROlinkCAT</w:t>
      </w:r>
      <w:proofErr w:type="spellEnd"/>
      <w:r w:rsidRPr="00112DB6">
        <w:rPr>
          <w:rFonts w:cs="Times New Roman"/>
          <w:szCs w:val="24"/>
          <w:lang w:val="en-US"/>
        </w:rPr>
        <w:t xml:space="preserve"> project.</w:t>
      </w:r>
      <w:r w:rsidRPr="00112DB6">
        <w:rPr>
          <w:rFonts w:cs="Times New Roman"/>
          <w:szCs w:val="24"/>
          <w:vertAlign w:val="superscript"/>
          <w:lang w:val="en-US"/>
        </w:rPr>
        <w:t>17</w:t>
      </w:r>
      <w:r w:rsidRPr="00112DB6">
        <w:rPr>
          <w:rFonts w:cs="Times New Roman"/>
          <w:szCs w:val="24"/>
          <w:lang w:val="en-US"/>
        </w:rPr>
        <w:t xml:space="preserve"> Three registries were unable to obtain linked data within the given time frame, while the data linkage in three other registries was not considered of sufficient quality.</w:t>
      </w:r>
      <w:r w:rsidRPr="00112DB6">
        <w:rPr>
          <w:rFonts w:cs="Times New Roman"/>
          <w:noProof/>
          <w:szCs w:val="24"/>
          <w:vertAlign w:val="superscript"/>
          <w:lang w:val="en-US"/>
        </w:rPr>
        <w:t>18</w:t>
      </w:r>
      <w:r w:rsidRPr="00112DB6">
        <w:rPr>
          <w:rFonts w:cs="Times New Roman"/>
          <w:szCs w:val="24"/>
          <w:lang w:val="en-US"/>
        </w:rPr>
        <w:t xml:space="preserve"> A further registry (Belgium: Antwerp) was not included in this analysis as it did not provide death data beyond infancy and for some specific CAs due to their country’s restrictions on releasing small numbers.</w:t>
      </w:r>
      <w:proofErr w:type="gramEnd"/>
      <w:r w:rsidRPr="00112DB6">
        <w:rPr>
          <w:rFonts w:cs="Times New Roman"/>
          <w:szCs w:val="24"/>
          <w:lang w:val="en-US"/>
        </w:rPr>
        <w:t xml:space="preserve"> Survival of children from the only EUROCAT registry in Eastern Europe (Ukrainian OMNI-Net) </w:t>
      </w:r>
      <w:proofErr w:type="gramStart"/>
      <w:r w:rsidRPr="00112DB6">
        <w:rPr>
          <w:rFonts w:cs="Times New Roman"/>
          <w:szCs w:val="24"/>
          <w:lang w:val="en-US"/>
        </w:rPr>
        <w:t>was considerably lower compared</w:t>
      </w:r>
      <w:proofErr w:type="gramEnd"/>
      <w:r w:rsidRPr="00112DB6">
        <w:rPr>
          <w:rFonts w:cs="Times New Roman"/>
          <w:szCs w:val="24"/>
          <w:lang w:val="en-US"/>
        </w:rPr>
        <w:t xml:space="preserve"> to all other registries. As childhood mortality is higher in Eastern than in Western Europe</w:t>
      </w:r>
      <w:proofErr w:type="gramStart"/>
      <w:r w:rsidRPr="00112DB6">
        <w:rPr>
          <w:rFonts w:cs="Times New Roman"/>
          <w:szCs w:val="24"/>
          <w:lang w:val="en-US"/>
        </w:rPr>
        <w:t>,</w:t>
      </w:r>
      <w:r w:rsidRPr="00112DB6">
        <w:rPr>
          <w:rFonts w:cs="Times New Roman"/>
          <w:szCs w:val="24"/>
          <w:vertAlign w:val="superscript"/>
          <w:lang w:val="en-US"/>
        </w:rPr>
        <w:t>19</w:t>
      </w:r>
      <w:proofErr w:type="gramEnd"/>
      <w:r w:rsidRPr="00112DB6">
        <w:rPr>
          <w:rFonts w:cs="Times New Roman"/>
          <w:szCs w:val="24"/>
          <w:lang w:val="en-US"/>
        </w:rPr>
        <w:t xml:space="preserve"> and as OMNI-Net was the only registry from Eastern Europe, it was decided to limit the analysis to Western European registries.</w:t>
      </w:r>
    </w:p>
    <w:p w14:paraId="1ADA0B2D" w14:textId="77777777" w:rsidR="0064507B" w:rsidRPr="00112DB6" w:rsidRDefault="0064507B" w:rsidP="00BA55DA">
      <w:pPr>
        <w:spacing w:before="360"/>
        <w:rPr>
          <w:rFonts w:cs="Times New Roman"/>
          <w:b/>
          <w:bCs/>
          <w:szCs w:val="24"/>
          <w:lang w:val="en-US"/>
        </w:rPr>
      </w:pPr>
      <w:r w:rsidRPr="00112DB6">
        <w:rPr>
          <w:rFonts w:cs="Times New Roman"/>
          <w:szCs w:val="24"/>
          <w:lang w:val="en-US"/>
        </w:rPr>
        <w:t xml:space="preserve">All live born children with a major CA born between </w:t>
      </w:r>
      <w:proofErr w:type="gramStart"/>
      <w:r w:rsidRPr="00112DB6">
        <w:rPr>
          <w:rFonts w:cs="Times New Roman"/>
          <w:szCs w:val="24"/>
          <w:lang w:val="en-US"/>
        </w:rPr>
        <w:t>1</w:t>
      </w:r>
      <w:r w:rsidRPr="00112DB6">
        <w:rPr>
          <w:rFonts w:cs="Times New Roman"/>
          <w:szCs w:val="24"/>
          <w:vertAlign w:val="superscript"/>
          <w:lang w:val="en-US"/>
        </w:rPr>
        <w:t>st</w:t>
      </w:r>
      <w:proofErr w:type="gramEnd"/>
      <w:r w:rsidRPr="00112DB6">
        <w:rPr>
          <w:rFonts w:cs="Times New Roman"/>
          <w:szCs w:val="24"/>
          <w:lang w:val="en-US"/>
        </w:rPr>
        <w:t xml:space="preserve"> January 1995 and 31</w:t>
      </w:r>
      <w:r w:rsidRPr="00112DB6">
        <w:rPr>
          <w:rFonts w:cs="Times New Roman"/>
          <w:szCs w:val="24"/>
          <w:vertAlign w:val="superscript"/>
          <w:lang w:val="en-US"/>
        </w:rPr>
        <w:t>st</w:t>
      </w:r>
      <w:r w:rsidRPr="00112DB6">
        <w:rPr>
          <w:rFonts w:cs="Times New Roman"/>
          <w:szCs w:val="24"/>
          <w:lang w:val="en-US"/>
        </w:rPr>
        <w:t xml:space="preserve"> December 2014 recorded in the 13 registries were linked to mortality sources up to the child’s 10</w:t>
      </w:r>
      <w:r w:rsidRPr="00112DB6">
        <w:rPr>
          <w:rFonts w:cs="Times New Roman"/>
          <w:szCs w:val="24"/>
          <w:vertAlign w:val="superscript"/>
          <w:lang w:val="en-US"/>
        </w:rPr>
        <w:t>th</w:t>
      </w:r>
      <w:r w:rsidRPr="00112DB6">
        <w:rPr>
          <w:rFonts w:cs="Times New Roman"/>
          <w:szCs w:val="24"/>
          <w:lang w:val="en-US"/>
        </w:rPr>
        <w:t xml:space="preserve"> birthday or to 31</w:t>
      </w:r>
      <w:r w:rsidRPr="00112DB6">
        <w:rPr>
          <w:rFonts w:cs="Times New Roman"/>
          <w:szCs w:val="24"/>
          <w:vertAlign w:val="superscript"/>
          <w:lang w:val="en-US"/>
        </w:rPr>
        <w:t>st</w:t>
      </w:r>
      <w:r w:rsidRPr="00112DB6">
        <w:rPr>
          <w:rFonts w:cs="Times New Roman"/>
          <w:szCs w:val="24"/>
          <w:lang w:val="en-US"/>
        </w:rPr>
        <w:t xml:space="preserve"> December 2015, whichever was earlier. Given observed increases in survival for births in 2005-2014 compared with 1995-2004 (Santoro M et al, submitted for publication on 20.07.2021) and improved linkage quality in the later decade,</w:t>
      </w:r>
      <w:r w:rsidRPr="00112DB6">
        <w:rPr>
          <w:rFonts w:cs="Times New Roman"/>
          <w:noProof/>
          <w:szCs w:val="24"/>
          <w:vertAlign w:val="superscript"/>
          <w:lang w:val="en-US"/>
        </w:rPr>
        <w:t>18</w:t>
      </w:r>
      <w:r w:rsidRPr="00112DB6">
        <w:rPr>
          <w:rFonts w:cs="Times New Roman"/>
          <w:szCs w:val="24"/>
          <w:lang w:val="en-US"/>
        </w:rPr>
        <w:t xml:space="preserve"> this study restricted the analysis to births between 2005-2014 (2007-2014 for the Valencian Region; 2008-2014 for Emilia Romagna) (Table 1) to provide the most up-to-date survival estimates.</w:t>
      </w:r>
    </w:p>
    <w:p w14:paraId="39EB8A26" w14:textId="77777777" w:rsidR="0064507B" w:rsidRPr="00112DB6" w:rsidRDefault="0064507B" w:rsidP="00BA55DA">
      <w:pPr>
        <w:pStyle w:val="Heading2"/>
        <w:spacing w:before="360"/>
        <w:rPr>
          <w:rFonts w:cs="Times New Roman"/>
          <w:sz w:val="26"/>
          <w:lang w:val="en-US"/>
        </w:rPr>
      </w:pPr>
      <w:r w:rsidRPr="00112DB6">
        <w:rPr>
          <w:rFonts w:cs="Times New Roman"/>
          <w:sz w:val="26"/>
          <w:lang w:val="en-US"/>
        </w:rPr>
        <w:t xml:space="preserve">Data linkage </w:t>
      </w:r>
    </w:p>
    <w:p w14:paraId="1C1FB49D" w14:textId="77777777" w:rsidR="0064507B" w:rsidRPr="00112DB6" w:rsidRDefault="0064507B" w:rsidP="00BA55DA">
      <w:pPr>
        <w:spacing w:after="0"/>
        <w:rPr>
          <w:rFonts w:cs="Times New Roman"/>
          <w:szCs w:val="24"/>
          <w:lang w:val="en-US"/>
        </w:rPr>
      </w:pPr>
      <w:r w:rsidRPr="00112DB6">
        <w:rPr>
          <w:lang w:val="en-US"/>
        </w:rPr>
        <w:t xml:space="preserve">The EUROCAT registries have ethics permissions and procedures for </w:t>
      </w:r>
      <w:r w:rsidRPr="00112DB6">
        <w:rPr>
          <w:rFonts w:cstheme="minorHAnsi"/>
          <w:lang w:val="en-US"/>
        </w:rPr>
        <w:t xml:space="preserve">routine surveillance, </w:t>
      </w:r>
      <w:r w:rsidRPr="00112DB6">
        <w:rPr>
          <w:lang w:val="en-US"/>
        </w:rPr>
        <w:t>data collection and transmission of anonymized data to a central database, according to national guidelines. Twelve</w:t>
      </w:r>
      <w:r w:rsidRPr="00112DB6">
        <w:rPr>
          <w:rFonts w:cs="Times New Roman"/>
          <w:szCs w:val="24"/>
          <w:lang w:val="en-US"/>
        </w:rPr>
        <w:t xml:space="preserve"> CA registries sought local ethics approvals or other permissions </w:t>
      </w:r>
      <w:r w:rsidRPr="00112DB6">
        <w:rPr>
          <w:rFonts w:cs="Times New Roman"/>
          <w:szCs w:val="24"/>
          <w:lang w:val="en-US"/>
        </w:rPr>
        <w:lastRenderedPageBreak/>
        <w:t xml:space="preserve">to link their data with local mortality sources; one registry (Norway) obtained permission to use data they had already linked. </w:t>
      </w:r>
    </w:p>
    <w:p w14:paraId="0760B897" w14:textId="77777777" w:rsidR="0064507B" w:rsidRPr="00112DB6" w:rsidRDefault="0064507B" w:rsidP="00BA55DA">
      <w:pPr>
        <w:spacing w:before="360" w:after="0"/>
        <w:rPr>
          <w:rFonts w:cs="Times New Roman"/>
          <w:szCs w:val="24"/>
          <w:lang w:val="en-US"/>
        </w:rPr>
      </w:pPr>
      <w:r w:rsidRPr="00112DB6">
        <w:rPr>
          <w:rFonts w:cs="Times New Roman"/>
          <w:szCs w:val="24"/>
          <w:lang w:val="en-US"/>
        </w:rPr>
        <w:t>Registries linked their CA data to either national/vital statistics or to mortality records only. L</w:t>
      </w:r>
      <w:r w:rsidRPr="00112DB6">
        <w:rPr>
          <w:lang w:val="en-US"/>
        </w:rPr>
        <w:t xml:space="preserve">inkage to national/vital statistics provided information on the vital status of all linked children (dead/alive) and hence a measure of successful linkage. Conversely, only registered deaths could be ascertained from mortality records, </w:t>
      </w:r>
      <w:proofErr w:type="spellStart"/>
      <w:r w:rsidRPr="00112DB6">
        <w:rPr>
          <w:lang w:val="en-US"/>
        </w:rPr>
        <w:t>ie</w:t>
      </w:r>
      <w:proofErr w:type="spellEnd"/>
      <w:r w:rsidRPr="00112DB6">
        <w:rPr>
          <w:lang w:val="en-US"/>
        </w:rPr>
        <w:t xml:space="preserve">, children without death certificates were assumed </w:t>
      </w:r>
      <w:proofErr w:type="gramStart"/>
      <w:r w:rsidRPr="00112DB6">
        <w:rPr>
          <w:lang w:val="en-US"/>
        </w:rPr>
        <w:t>to be alive</w:t>
      </w:r>
      <w:proofErr w:type="gramEnd"/>
      <w:r w:rsidRPr="00112DB6">
        <w:rPr>
          <w:lang w:val="en-US"/>
        </w:rPr>
        <w:t xml:space="preserve">, although it could have been a linkage failure. </w:t>
      </w:r>
      <w:r w:rsidRPr="00112DB6">
        <w:rPr>
          <w:rFonts w:cs="Times New Roman"/>
          <w:szCs w:val="24"/>
          <w:lang w:val="en-US"/>
        </w:rPr>
        <w:t>A detailed description of the linkage process and results is provided elsewhere.</w:t>
      </w:r>
      <w:r w:rsidRPr="00112DB6">
        <w:rPr>
          <w:rFonts w:cs="Times New Roman"/>
          <w:noProof/>
          <w:szCs w:val="24"/>
          <w:vertAlign w:val="superscript"/>
          <w:lang w:val="en-US"/>
        </w:rPr>
        <w:t>18</w:t>
      </w:r>
      <w:r w:rsidRPr="00112DB6">
        <w:rPr>
          <w:rFonts w:cs="Times New Roman"/>
          <w:szCs w:val="24"/>
          <w:lang w:val="en-US"/>
        </w:rPr>
        <w:t xml:space="preserve"> Data were only included in this paper from those registries where the linkage success was over 85% for all years; for five registries it was ≥99%.</w:t>
      </w:r>
    </w:p>
    <w:p w14:paraId="24962C42" w14:textId="77777777" w:rsidR="0064507B" w:rsidRPr="00112DB6" w:rsidRDefault="0064507B" w:rsidP="002661FE">
      <w:pPr>
        <w:pStyle w:val="Heading2"/>
        <w:spacing w:before="360"/>
        <w:ind w:firstLine="720"/>
        <w:rPr>
          <w:rFonts w:cs="Times New Roman"/>
          <w:sz w:val="26"/>
          <w:lang w:val="en-US"/>
        </w:rPr>
      </w:pPr>
      <w:r w:rsidRPr="00112DB6">
        <w:rPr>
          <w:rFonts w:cs="Times New Roman"/>
          <w:sz w:val="26"/>
          <w:lang w:val="en-US"/>
        </w:rPr>
        <w:t>Classification of Congenital Anomalies and Definitions</w:t>
      </w:r>
    </w:p>
    <w:p w14:paraId="302CAAAE" w14:textId="77777777" w:rsidR="0064507B" w:rsidRPr="00112DB6" w:rsidRDefault="0064507B" w:rsidP="00BA55DA">
      <w:pPr>
        <w:pStyle w:val="Default"/>
        <w:spacing w:line="480" w:lineRule="auto"/>
        <w:rPr>
          <w:rFonts w:ascii="Times New Roman" w:hAnsi="Times New Roman" w:cs="Times New Roman"/>
          <w:color w:val="231F20"/>
          <w:bdr w:val="none" w:sz="0" w:space="0" w:color="auto" w:frame="1"/>
          <w:lang w:val="en-US"/>
        </w:rPr>
      </w:pPr>
      <w:proofErr w:type="gramStart"/>
      <w:r w:rsidRPr="00112DB6">
        <w:rPr>
          <w:rFonts w:ascii="Times New Roman" w:eastAsia="ScalaLancetPro" w:hAnsi="Times New Roman" w:cs="Times New Roman"/>
          <w:lang w:val="en-US"/>
        </w:rPr>
        <w:t xml:space="preserve">All major CAs were coded using the </w:t>
      </w:r>
      <w:r w:rsidRPr="00112DB6">
        <w:rPr>
          <w:rFonts w:ascii="Times New Roman" w:eastAsia="ScalaLancetPro" w:hAnsi="Times New Roman" w:cs="Times New Roman"/>
          <w:iCs/>
          <w:lang w:val="en-US"/>
        </w:rPr>
        <w:t>International Statistical Classification of Diseases and Related Health Problems, Tenth Revision</w:t>
      </w:r>
      <w:r w:rsidRPr="00112DB6">
        <w:rPr>
          <w:rFonts w:ascii="Times New Roman" w:eastAsia="ScalaLancetPro" w:hAnsi="Times New Roman" w:cs="Times New Roman"/>
          <w:vertAlign w:val="superscript"/>
          <w:lang w:val="en-US"/>
        </w:rPr>
        <w:t>20</w:t>
      </w:r>
      <w:r w:rsidRPr="00112DB6">
        <w:rPr>
          <w:rFonts w:ascii="Times New Roman" w:eastAsia="ScalaLancetPro" w:hAnsi="Times New Roman" w:cs="Times New Roman"/>
          <w:lang w:val="en-US"/>
        </w:rPr>
        <w:t xml:space="preserve"> (ICD-10) or </w:t>
      </w:r>
      <w:r w:rsidRPr="00112DB6">
        <w:rPr>
          <w:rFonts w:ascii="Times New Roman" w:eastAsia="ScalaLancetPro" w:hAnsi="Times New Roman" w:cs="Times New Roman"/>
          <w:iCs/>
          <w:lang w:val="en-US"/>
        </w:rPr>
        <w:t>Ninth Revision</w:t>
      </w:r>
      <w:r w:rsidRPr="00112DB6">
        <w:rPr>
          <w:rFonts w:ascii="Times New Roman" w:eastAsia="ScalaLancetPro" w:hAnsi="Times New Roman" w:cs="Times New Roman"/>
          <w:lang w:val="en-US"/>
        </w:rPr>
        <w:t xml:space="preserve"> (ICD-9) and categorized by CA group/subgroup (the organ system affected and the individual disorder), following the  EUROCAT guidelines.</w:t>
      </w:r>
      <w:r w:rsidRPr="00112DB6">
        <w:rPr>
          <w:rFonts w:ascii="Times New Roman" w:eastAsia="ScalaLancetPro" w:hAnsi="Times New Roman" w:cs="Times New Roman"/>
          <w:vertAlign w:val="superscript"/>
          <w:lang w:val="en-US"/>
        </w:rPr>
        <w:t>21</w:t>
      </w:r>
      <w:r w:rsidRPr="00112DB6">
        <w:rPr>
          <w:rFonts w:ascii="Times New Roman" w:eastAsia="ScalaLancetPro" w:hAnsi="Times New Roman" w:cs="Times New Roman"/>
          <w:lang w:val="en-US"/>
        </w:rPr>
        <w:t xml:space="preserve"> C</w:t>
      </w:r>
      <w:r w:rsidRPr="00112DB6">
        <w:rPr>
          <w:rFonts w:ascii="Times New Roman" w:hAnsi="Times New Roman" w:cs="Times New Roman"/>
          <w:lang w:val="en-US"/>
        </w:rPr>
        <w:t>hildren with only minor anomalies, defined in EUROCAT as those with lesser medical, functional or cosmetic consequences for the child (</w:t>
      </w:r>
      <w:proofErr w:type="spellStart"/>
      <w:r w:rsidRPr="00112DB6">
        <w:rPr>
          <w:rFonts w:ascii="Times New Roman" w:hAnsi="Times New Roman" w:cs="Times New Roman"/>
          <w:lang w:val="en-US"/>
        </w:rPr>
        <w:t>eg</w:t>
      </w:r>
      <w:proofErr w:type="spellEnd"/>
      <w:r w:rsidRPr="00112DB6">
        <w:rPr>
          <w:rFonts w:ascii="Times New Roman" w:hAnsi="Times New Roman" w:cs="Times New Roman"/>
          <w:lang w:val="en-US"/>
        </w:rPr>
        <w:t xml:space="preserve">, </w:t>
      </w:r>
      <w:proofErr w:type="spellStart"/>
      <w:r w:rsidRPr="00112DB6">
        <w:rPr>
          <w:rFonts w:ascii="Times New Roman" w:hAnsi="Times New Roman" w:cs="Times New Roman"/>
          <w:lang w:val="en-US"/>
        </w:rPr>
        <w:t>clinodactyly</w:t>
      </w:r>
      <w:proofErr w:type="spellEnd"/>
      <w:r w:rsidRPr="00112DB6">
        <w:rPr>
          <w:rFonts w:ascii="Times New Roman" w:hAnsi="Times New Roman" w:cs="Times New Roman"/>
          <w:lang w:val="en-US"/>
        </w:rPr>
        <w:t>), were not included.</w:t>
      </w:r>
      <w:r w:rsidRPr="00112DB6">
        <w:rPr>
          <w:rFonts w:ascii="Times New Roman" w:hAnsi="Times New Roman" w:cs="Times New Roman"/>
          <w:vertAlign w:val="superscript"/>
          <w:lang w:val="en-US"/>
        </w:rPr>
        <w:t>22</w:t>
      </w:r>
      <w:r w:rsidRPr="00112DB6">
        <w:rPr>
          <w:rFonts w:ascii="Times New Roman" w:hAnsi="Times New Roman" w:cs="Times New Roman"/>
          <w:lang w:val="en-US"/>
        </w:rPr>
        <w:t xml:space="preserve"> </w:t>
      </w:r>
      <w:r w:rsidRPr="00112DB6">
        <w:rPr>
          <w:rFonts w:ascii="Times New Roman" w:hAnsi="Times New Roman" w:cs="Times New Roman"/>
          <w:color w:val="201F1E"/>
          <w:lang w:val="en-US"/>
        </w:rPr>
        <w:t>For each CA subgroup, all children with the specified anomalies were included and those with an isolated anomaly only were identified resulting in two groups for analysis: ‘All’ and ‘Isolated’.</w:t>
      </w:r>
      <w:proofErr w:type="gramEnd"/>
      <w:r w:rsidRPr="00112DB6">
        <w:rPr>
          <w:rFonts w:ascii="Times New Roman" w:hAnsi="Times New Roman" w:cs="Times New Roman"/>
          <w:color w:val="201F1E"/>
          <w:lang w:val="en-US"/>
        </w:rPr>
        <w:t xml:space="preserve"> An isolated CA</w:t>
      </w:r>
      <w:r w:rsidRPr="00112DB6">
        <w:rPr>
          <w:rFonts w:ascii="Times New Roman" w:hAnsi="Times New Roman" w:cs="Times New Roman"/>
          <w:color w:val="201F1E"/>
          <w:bdr w:val="none" w:sz="0" w:space="0" w:color="auto" w:frame="1"/>
          <w:lang w:val="en-US"/>
        </w:rPr>
        <w:t xml:space="preserve"> was defined as </w:t>
      </w:r>
      <w:r w:rsidRPr="00112DB6">
        <w:rPr>
          <w:rFonts w:ascii="Times New Roman" w:hAnsi="Times New Roman" w:cs="Times New Roman"/>
          <w:color w:val="231F20"/>
          <w:bdr w:val="none" w:sz="0" w:space="0" w:color="auto" w:frame="1"/>
          <w:lang w:val="en-US"/>
        </w:rPr>
        <w:t xml:space="preserve">a </w:t>
      </w:r>
      <w:r w:rsidRPr="00112DB6">
        <w:rPr>
          <w:rFonts w:ascii="Times New Roman" w:hAnsi="Times New Roman" w:cs="Times New Roman"/>
          <w:color w:val="201F1E"/>
          <w:lang w:val="en-US"/>
        </w:rPr>
        <w:t xml:space="preserve">structural </w:t>
      </w:r>
      <w:r w:rsidRPr="00112DB6">
        <w:rPr>
          <w:rFonts w:ascii="Times New Roman" w:hAnsi="Times New Roman" w:cs="Times New Roman"/>
          <w:color w:val="231F20"/>
          <w:bdr w:val="none" w:sz="0" w:space="0" w:color="auto" w:frame="1"/>
          <w:lang w:val="en-US"/>
        </w:rPr>
        <w:t>CA in one organ system only or as part of a known sequence (</w:t>
      </w:r>
      <w:proofErr w:type="spellStart"/>
      <w:r w:rsidRPr="00112DB6">
        <w:rPr>
          <w:rFonts w:ascii="Times New Roman" w:hAnsi="Times New Roman" w:cs="Times New Roman"/>
          <w:color w:val="231F20"/>
          <w:bdr w:val="none" w:sz="0" w:space="0" w:color="auto" w:frame="1"/>
          <w:lang w:val="en-US"/>
        </w:rPr>
        <w:t>eg</w:t>
      </w:r>
      <w:proofErr w:type="spellEnd"/>
      <w:r w:rsidRPr="00112DB6">
        <w:rPr>
          <w:rFonts w:ascii="Times New Roman" w:hAnsi="Times New Roman" w:cs="Times New Roman"/>
          <w:color w:val="231F20"/>
          <w:bdr w:val="none" w:sz="0" w:space="0" w:color="auto" w:frame="1"/>
          <w:lang w:val="en-US"/>
        </w:rPr>
        <w:t>, renal agenesis with pulmonary hypoplasia).</w:t>
      </w:r>
      <w:r w:rsidRPr="00112DB6">
        <w:rPr>
          <w:rFonts w:ascii="Times New Roman" w:hAnsi="Times New Roman" w:cs="Times New Roman"/>
          <w:color w:val="201F1E"/>
          <w:lang w:val="en-US"/>
        </w:rPr>
        <w:t xml:space="preserve"> </w:t>
      </w:r>
      <w:r w:rsidRPr="00112DB6">
        <w:rPr>
          <w:rFonts w:ascii="Times New Roman" w:hAnsi="Times New Roman" w:cs="Times New Roman"/>
          <w:color w:val="231F20"/>
          <w:bdr w:val="none" w:sz="0" w:space="0" w:color="auto" w:frame="1"/>
          <w:lang w:val="en-US"/>
        </w:rPr>
        <w:t>A child classified as having an isolated anomaly may be included in more than one anomaly subgroup within the same organ system (</w:t>
      </w:r>
      <w:proofErr w:type="spellStart"/>
      <w:r w:rsidRPr="00112DB6">
        <w:rPr>
          <w:rFonts w:ascii="Times New Roman" w:hAnsi="Times New Roman" w:cs="Times New Roman"/>
          <w:color w:val="231F20"/>
          <w:bdr w:val="none" w:sz="0" w:space="0" w:color="auto" w:frame="1"/>
          <w:lang w:val="en-US"/>
        </w:rPr>
        <w:t>eg</w:t>
      </w:r>
      <w:proofErr w:type="spellEnd"/>
      <w:r w:rsidRPr="00112DB6">
        <w:rPr>
          <w:rFonts w:ascii="Times New Roman" w:hAnsi="Times New Roman" w:cs="Times New Roman"/>
          <w:color w:val="231F20"/>
          <w:bdr w:val="none" w:sz="0" w:space="0" w:color="auto" w:frame="1"/>
          <w:lang w:val="en-US"/>
        </w:rPr>
        <w:t xml:space="preserve">, esophageal atresia and anal atresia). </w:t>
      </w:r>
      <w:r w:rsidRPr="00112DB6">
        <w:rPr>
          <w:rFonts w:ascii="Times New Roman" w:hAnsi="Times New Roman" w:cs="Times New Roman"/>
          <w:color w:val="201F1E"/>
          <w:lang w:val="en-US"/>
        </w:rPr>
        <w:t xml:space="preserve">The EUROCAT hierarchical computer algorithm </w:t>
      </w:r>
      <w:r w:rsidRPr="00112DB6">
        <w:rPr>
          <w:rFonts w:ascii="Times New Roman" w:hAnsi="Times New Roman" w:cs="Times New Roman"/>
          <w:color w:val="231F20"/>
          <w:bdr w:val="none" w:sz="0" w:space="0" w:color="auto" w:frame="1"/>
          <w:lang w:val="en-US"/>
        </w:rPr>
        <w:t>for classification of major CAs was used</w:t>
      </w:r>
      <w:r w:rsidRPr="00112DB6">
        <w:rPr>
          <w:rFonts w:ascii="Times New Roman" w:hAnsi="Times New Roman" w:cs="Times New Roman"/>
          <w:color w:val="231F20"/>
          <w:bdr w:val="none" w:sz="0" w:space="0" w:color="auto" w:frame="1"/>
          <w:vertAlign w:val="superscript"/>
          <w:lang w:val="en-US"/>
        </w:rPr>
        <w:t>23</w:t>
      </w:r>
      <w:proofErr w:type="gramStart"/>
      <w:r w:rsidRPr="00112DB6">
        <w:rPr>
          <w:rFonts w:ascii="Times New Roman" w:hAnsi="Times New Roman" w:cs="Times New Roman"/>
          <w:color w:val="231F20"/>
          <w:bdr w:val="none" w:sz="0" w:space="0" w:color="auto" w:frame="1"/>
          <w:vertAlign w:val="superscript"/>
          <w:lang w:val="en-US"/>
        </w:rPr>
        <w:t>,24</w:t>
      </w:r>
      <w:proofErr w:type="gramEnd"/>
      <w:r w:rsidRPr="00112DB6">
        <w:rPr>
          <w:rFonts w:ascii="Times New Roman" w:hAnsi="Times New Roman" w:cs="Times New Roman"/>
          <w:color w:val="201F1E"/>
          <w:lang w:val="en-US"/>
        </w:rPr>
        <w:t xml:space="preserve"> without a manual clinical review of the identified potential multiple CAs.</w:t>
      </w:r>
      <w:r w:rsidRPr="00112DB6">
        <w:rPr>
          <w:rFonts w:ascii="Times New Roman" w:hAnsi="Times New Roman" w:cs="Times New Roman"/>
          <w:color w:val="231F20"/>
          <w:bdr w:val="none" w:sz="0" w:space="0" w:color="auto" w:frame="1"/>
          <w:lang w:val="en-US"/>
        </w:rPr>
        <w:t xml:space="preserve"> </w:t>
      </w:r>
    </w:p>
    <w:p w14:paraId="3C9CB2B9" w14:textId="77777777" w:rsidR="0064507B" w:rsidRPr="00112DB6" w:rsidRDefault="0064507B" w:rsidP="00BA55DA">
      <w:pPr>
        <w:pStyle w:val="xmsonormal"/>
        <w:shd w:val="clear" w:color="auto" w:fill="FFFFFF"/>
        <w:spacing w:before="360" w:beforeAutospacing="0" w:after="0" w:afterAutospacing="0" w:line="480" w:lineRule="auto"/>
        <w:rPr>
          <w:color w:val="201F1E"/>
          <w:lang w:val="en-US"/>
        </w:rPr>
      </w:pPr>
      <w:r w:rsidRPr="00112DB6">
        <w:rPr>
          <w:color w:val="201F1E"/>
          <w:lang w:val="en-US"/>
        </w:rPr>
        <w:lastRenderedPageBreak/>
        <w:t xml:space="preserve">This paper </w:t>
      </w:r>
      <w:proofErr w:type="gramStart"/>
      <w:r w:rsidRPr="00112DB6">
        <w:rPr>
          <w:color w:val="201F1E"/>
          <w:lang w:val="en-US"/>
        </w:rPr>
        <w:t>is focused</w:t>
      </w:r>
      <w:proofErr w:type="gramEnd"/>
      <w:r w:rsidRPr="00112DB6">
        <w:rPr>
          <w:color w:val="201F1E"/>
          <w:lang w:val="en-US"/>
        </w:rPr>
        <w:t xml:space="preserve"> on relatively common structural CAs in live births (</w:t>
      </w:r>
      <w:bookmarkStart w:id="5" w:name="_Hlk74924325"/>
      <w:r w:rsidRPr="00112DB6">
        <w:rPr>
          <w:color w:val="201F1E"/>
          <w:lang w:val="en-US"/>
        </w:rPr>
        <w:t>live birth prevalence ≥1 per 10,000</w:t>
      </w:r>
      <w:bookmarkEnd w:id="5"/>
      <w:r w:rsidRPr="00112DB6">
        <w:rPr>
          <w:color w:val="201F1E"/>
          <w:lang w:val="en-US"/>
        </w:rPr>
        <w:t>) and Down syndrome as the most common chromosomal anomaly (</w:t>
      </w:r>
      <w:r w:rsidRPr="00112DB6">
        <w:rPr>
          <w:rFonts w:cstheme="minorHAnsi"/>
          <w:lang w:val="en-US"/>
        </w:rPr>
        <w:t>Supplemental</w:t>
      </w:r>
      <w:r w:rsidRPr="00112DB6">
        <w:rPr>
          <w:bCs/>
          <w:lang w:val="en-US"/>
        </w:rPr>
        <w:t xml:space="preserve"> Table 1</w:t>
      </w:r>
      <w:r w:rsidRPr="00112DB6">
        <w:rPr>
          <w:bCs/>
          <w:vertAlign w:val="superscript"/>
          <w:lang w:val="en-US"/>
        </w:rPr>
        <w:t>17</w:t>
      </w:r>
      <w:r w:rsidRPr="00112DB6">
        <w:rPr>
          <w:color w:val="201F1E"/>
          <w:lang w:val="en-US"/>
        </w:rPr>
        <w:t xml:space="preserve">). </w:t>
      </w:r>
    </w:p>
    <w:p w14:paraId="6281310E" w14:textId="77777777" w:rsidR="0064507B" w:rsidRPr="00112DB6" w:rsidRDefault="0064507B" w:rsidP="00BA55DA">
      <w:pPr>
        <w:pStyle w:val="Heading2"/>
        <w:spacing w:before="360"/>
        <w:rPr>
          <w:rFonts w:cs="Times New Roman"/>
          <w:sz w:val="26"/>
          <w:lang w:val="en-US"/>
        </w:rPr>
      </w:pPr>
      <w:r w:rsidRPr="00112DB6">
        <w:rPr>
          <w:rFonts w:cs="Times New Roman"/>
          <w:sz w:val="26"/>
          <w:lang w:val="en-US"/>
        </w:rPr>
        <w:t>Statistical analysis</w:t>
      </w:r>
    </w:p>
    <w:p w14:paraId="1143DBBA" w14:textId="77777777" w:rsidR="0064507B" w:rsidRPr="00112DB6" w:rsidRDefault="0064507B" w:rsidP="00BA55DA">
      <w:pPr>
        <w:spacing w:before="0" w:after="0"/>
        <w:rPr>
          <w:color w:val="222A35" w:themeColor="text2" w:themeShade="80"/>
          <w:szCs w:val="24"/>
          <w:lang w:val="en-US"/>
        </w:rPr>
      </w:pPr>
      <w:r w:rsidRPr="00112DB6">
        <w:rPr>
          <w:rFonts w:cs="Times New Roman"/>
          <w:szCs w:val="24"/>
          <w:lang w:val="en-US"/>
        </w:rPr>
        <w:t xml:space="preserve">In addition to the standardized </w:t>
      </w:r>
      <w:r w:rsidRPr="00112DB6">
        <w:rPr>
          <w:lang w:val="en-US"/>
        </w:rPr>
        <w:t>EUROCAT variables</w:t>
      </w:r>
      <w:proofErr w:type="gramStart"/>
      <w:r w:rsidRPr="00112DB6">
        <w:rPr>
          <w:lang w:val="en-US"/>
        </w:rPr>
        <w:t>,</w:t>
      </w:r>
      <w:r w:rsidRPr="00112DB6">
        <w:rPr>
          <w:vertAlign w:val="superscript"/>
          <w:lang w:val="en-US"/>
        </w:rPr>
        <w:t>17</w:t>
      </w:r>
      <w:proofErr w:type="gramEnd"/>
      <w:r w:rsidRPr="00112DB6">
        <w:rPr>
          <w:lang w:val="en-US"/>
        </w:rPr>
        <w:t xml:space="preserve"> a common data model was developed to standardize the local variables obtained from linkage. This enabled centrally written syntax scripts for checking the linkage quality and for the analysis of mortality data to be run by all registries.</w:t>
      </w:r>
      <w:r w:rsidRPr="00112DB6">
        <w:rPr>
          <w:vertAlign w:val="superscript"/>
          <w:lang w:val="en-US"/>
        </w:rPr>
        <w:t>17</w:t>
      </w:r>
      <w:r w:rsidRPr="00112DB6">
        <w:rPr>
          <w:lang w:val="en-US"/>
        </w:rPr>
        <w:t xml:space="preserve"> </w:t>
      </w:r>
      <w:proofErr w:type="gramStart"/>
      <w:r w:rsidRPr="00112DB6">
        <w:rPr>
          <w:color w:val="222A35" w:themeColor="text2" w:themeShade="80"/>
          <w:szCs w:val="24"/>
          <w:lang w:val="en-US"/>
        </w:rPr>
        <w:t>The</w:t>
      </w:r>
      <w:proofErr w:type="gramEnd"/>
      <w:r w:rsidRPr="00112DB6">
        <w:rPr>
          <w:color w:val="222A35" w:themeColor="text2" w:themeShade="80"/>
          <w:szCs w:val="24"/>
          <w:lang w:val="en-US"/>
        </w:rPr>
        <w:t xml:space="preserve"> statistical analysis consisted of two stages. </w:t>
      </w:r>
      <w:proofErr w:type="gramStart"/>
      <w:r w:rsidRPr="00112DB6">
        <w:rPr>
          <w:color w:val="222A35" w:themeColor="text2" w:themeShade="80"/>
          <w:szCs w:val="24"/>
          <w:lang w:val="en-US"/>
        </w:rPr>
        <w:t>F</w:t>
      </w:r>
      <w:r w:rsidRPr="00112DB6">
        <w:rPr>
          <w:rFonts w:cs="Times New Roman"/>
          <w:szCs w:val="24"/>
          <w:lang w:val="en-US"/>
        </w:rPr>
        <w:t xml:space="preserve">irst, the probability of survival at specific ages </w:t>
      </w:r>
      <w:r w:rsidRPr="00112DB6">
        <w:rPr>
          <w:rFonts w:cs="AdvMINION-R"/>
          <w:szCs w:val="24"/>
          <w:lang w:val="en-US"/>
        </w:rPr>
        <w:t>(</w:t>
      </w:r>
      <w:r w:rsidRPr="00112DB6">
        <w:rPr>
          <w:szCs w:val="24"/>
          <w:lang w:val="en-US"/>
        </w:rPr>
        <w:t>7 days, 28 days, 3 months, 6 months, 1, 2, 3, 4, 5, 6, 7, 8, 9 and 10 years</w:t>
      </w:r>
      <w:r w:rsidRPr="00112DB6">
        <w:rPr>
          <w:rFonts w:cs="AdvMINION-R"/>
          <w:szCs w:val="24"/>
          <w:lang w:val="en-US"/>
        </w:rPr>
        <w:t xml:space="preserve">) </w:t>
      </w:r>
      <w:r w:rsidRPr="00112DB6">
        <w:rPr>
          <w:rFonts w:cs="Times New Roman"/>
          <w:szCs w:val="24"/>
          <w:lang w:val="en-US"/>
        </w:rPr>
        <w:t xml:space="preserve">was calculated </w:t>
      </w:r>
      <w:r w:rsidRPr="00112DB6">
        <w:rPr>
          <w:rFonts w:cs="AdvMINION-R"/>
          <w:szCs w:val="24"/>
          <w:lang w:val="en-US"/>
        </w:rPr>
        <w:t>for each CA subgroup</w:t>
      </w:r>
      <w:r w:rsidRPr="00112DB6">
        <w:rPr>
          <w:rFonts w:cs="Times New Roman"/>
          <w:szCs w:val="24"/>
          <w:lang w:val="en-US"/>
        </w:rPr>
        <w:t xml:space="preserve"> using Kaplan -Meier survival analysis, which takes into account the censoring of the data that occurred mainly due to the end of follow up being 31</w:t>
      </w:r>
      <w:r w:rsidRPr="00112DB6">
        <w:rPr>
          <w:rFonts w:cs="Times New Roman"/>
          <w:szCs w:val="24"/>
          <w:vertAlign w:val="superscript"/>
          <w:lang w:val="en-US"/>
        </w:rPr>
        <w:t>st</w:t>
      </w:r>
      <w:r w:rsidRPr="00112DB6">
        <w:rPr>
          <w:rFonts w:cs="Times New Roman"/>
          <w:szCs w:val="24"/>
          <w:lang w:val="en-US"/>
        </w:rPr>
        <w:t xml:space="preserve"> December 2015.</w:t>
      </w:r>
      <w:proofErr w:type="gramEnd"/>
      <w:r w:rsidRPr="00112DB6">
        <w:rPr>
          <w:rFonts w:cs="Times New Roman"/>
          <w:szCs w:val="24"/>
          <w:lang w:val="en-US"/>
        </w:rPr>
        <w:t xml:space="preserve"> This analysis </w:t>
      </w:r>
      <w:proofErr w:type="gramStart"/>
      <w:r w:rsidRPr="00112DB6">
        <w:rPr>
          <w:rFonts w:cs="Times New Roman"/>
          <w:szCs w:val="24"/>
          <w:lang w:val="en-US"/>
        </w:rPr>
        <w:t>was performed</w:t>
      </w:r>
      <w:proofErr w:type="gramEnd"/>
      <w:r w:rsidRPr="00112DB6">
        <w:rPr>
          <w:rFonts w:cs="Times New Roman"/>
          <w:szCs w:val="24"/>
          <w:lang w:val="en-US"/>
        </w:rPr>
        <w:t xml:space="preserve"> on individual case data by the registries locally using the centrally written syntax script. </w:t>
      </w:r>
      <w:r w:rsidRPr="00112DB6">
        <w:rPr>
          <w:lang w:val="en-US"/>
        </w:rPr>
        <w:t xml:space="preserve">Registries then uploaded the </w:t>
      </w:r>
      <w:r w:rsidRPr="00112DB6">
        <w:rPr>
          <w:rFonts w:cstheme="minorHAnsi"/>
          <w:lang w:val="en-US"/>
        </w:rPr>
        <w:t>Kaplan-Meier survival estimates with 95% confidence intervals (CI</w:t>
      </w:r>
      <w:r w:rsidRPr="00112DB6">
        <w:rPr>
          <w:rFonts w:cstheme="minorHAnsi"/>
          <w:szCs w:val="24"/>
          <w:lang w:val="en-US"/>
        </w:rPr>
        <w:t>),</w:t>
      </w:r>
      <w:r w:rsidRPr="00112DB6">
        <w:rPr>
          <w:rFonts w:cs="AdvMINION-R"/>
          <w:szCs w:val="24"/>
          <w:lang w:val="en-US"/>
        </w:rPr>
        <w:t xml:space="preserve"> the number at risk and the number of deaths </w:t>
      </w:r>
      <w:proofErr w:type="gramStart"/>
      <w:r w:rsidRPr="00112DB6">
        <w:rPr>
          <w:rFonts w:cs="AdvMINION-R"/>
          <w:szCs w:val="24"/>
          <w:lang w:val="en-US"/>
        </w:rPr>
        <w:t xml:space="preserve">at each age for each CA subgroup </w:t>
      </w:r>
      <w:r w:rsidRPr="00112DB6" w:rsidDel="009A1119">
        <w:rPr>
          <w:rFonts w:cstheme="minorHAnsi"/>
          <w:lang w:val="en-US"/>
        </w:rPr>
        <w:t>to the Central Results Repository at Ulster University, UK</w:t>
      </w:r>
      <w:r w:rsidRPr="00112DB6">
        <w:rPr>
          <w:rFonts w:cstheme="minorHAnsi"/>
          <w:lang w:val="en-US"/>
        </w:rPr>
        <w:t xml:space="preserve">, using a </w:t>
      </w:r>
      <w:r w:rsidRPr="00112DB6" w:rsidDel="009A1119">
        <w:rPr>
          <w:rFonts w:cstheme="minorHAnsi"/>
          <w:lang w:val="en-US"/>
        </w:rPr>
        <w:t>secure web platform</w:t>
      </w:r>
      <w:proofErr w:type="gramEnd"/>
      <w:r w:rsidRPr="00112DB6">
        <w:rPr>
          <w:rFonts w:cstheme="minorHAnsi"/>
          <w:lang w:val="en-US"/>
        </w:rPr>
        <w:t xml:space="preserve"> - </w:t>
      </w:r>
      <w:r w:rsidRPr="00112DB6">
        <w:rPr>
          <w:rFonts w:cs="Times New Roman"/>
          <w:szCs w:val="24"/>
          <w:lang w:val="en-US"/>
        </w:rPr>
        <w:t>no individual case data were uploaded</w:t>
      </w:r>
      <w:r w:rsidRPr="00112DB6">
        <w:rPr>
          <w:rFonts w:cstheme="minorHAnsi"/>
          <w:lang w:val="en-US"/>
        </w:rPr>
        <w:t>.</w:t>
      </w:r>
      <w:r w:rsidRPr="00112DB6">
        <w:rPr>
          <w:color w:val="222A35" w:themeColor="text2" w:themeShade="80"/>
          <w:szCs w:val="24"/>
          <w:lang w:val="en-US"/>
        </w:rPr>
        <w:t xml:space="preserve"> The second stage involved pooling these data by meta-analysis </w:t>
      </w:r>
      <w:r w:rsidRPr="00112DB6">
        <w:rPr>
          <w:rFonts w:cstheme="minorHAnsi"/>
          <w:lang w:val="en-US"/>
        </w:rPr>
        <w:t>to produce project-wide estimates</w:t>
      </w:r>
      <w:r w:rsidRPr="00112DB6">
        <w:rPr>
          <w:color w:val="222A35" w:themeColor="text2" w:themeShade="80"/>
          <w:szCs w:val="24"/>
          <w:lang w:val="en-US"/>
        </w:rPr>
        <w:t>.</w:t>
      </w:r>
    </w:p>
    <w:p w14:paraId="735128C9" w14:textId="77777777" w:rsidR="0064507B" w:rsidRPr="00112DB6" w:rsidRDefault="0064507B" w:rsidP="00BA55DA">
      <w:pPr>
        <w:spacing w:before="240" w:after="0"/>
        <w:rPr>
          <w:b/>
          <w:bCs/>
          <w:lang w:val="en-US"/>
        </w:rPr>
      </w:pPr>
      <w:r w:rsidRPr="00112DB6">
        <w:rPr>
          <w:b/>
          <w:bCs/>
          <w:color w:val="222A35" w:themeColor="text2" w:themeShade="80"/>
          <w:szCs w:val="24"/>
          <w:lang w:val="en-US"/>
        </w:rPr>
        <w:t xml:space="preserve">Meta-analysis </w:t>
      </w:r>
    </w:p>
    <w:p w14:paraId="0B96AC65" w14:textId="77777777" w:rsidR="0064507B" w:rsidRPr="00112DB6" w:rsidRDefault="0064507B" w:rsidP="00BA55DA">
      <w:pPr>
        <w:spacing w:before="0" w:after="0"/>
        <w:rPr>
          <w:rFonts w:cstheme="minorHAnsi"/>
          <w:lang w:val="en-US"/>
        </w:rPr>
      </w:pPr>
      <w:r w:rsidRPr="00112DB6">
        <w:rPr>
          <w:rFonts w:cstheme="minorHAnsi"/>
          <w:lang w:val="en-US"/>
        </w:rPr>
        <w:t xml:space="preserve">The Kaplan-Meier survival estimates were combined in a random-effects meta-analysis to estimate the overall survival for each CA subgroup by modifying a method proposed by </w:t>
      </w:r>
      <w:proofErr w:type="spellStart"/>
      <w:r w:rsidRPr="00112DB6">
        <w:rPr>
          <w:rFonts w:cstheme="minorHAnsi"/>
          <w:lang w:val="en-US"/>
        </w:rPr>
        <w:t>Combescure</w:t>
      </w:r>
      <w:proofErr w:type="spellEnd"/>
      <w:r w:rsidRPr="00112DB6">
        <w:rPr>
          <w:rFonts w:cstheme="minorHAnsi"/>
          <w:lang w:val="en-US"/>
        </w:rPr>
        <w:t xml:space="preserve"> </w:t>
      </w:r>
      <w:proofErr w:type="gramStart"/>
      <w:r w:rsidRPr="00112DB6">
        <w:rPr>
          <w:rFonts w:cstheme="minorHAnsi"/>
          <w:lang w:val="en-US"/>
        </w:rPr>
        <w:t>et</w:t>
      </w:r>
      <w:proofErr w:type="gramEnd"/>
      <w:r w:rsidRPr="00112DB6">
        <w:rPr>
          <w:rFonts w:cstheme="minorHAnsi"/>
          <w:lang w:val="en-US"/>
        </w:rPr>
        <w:t xml:space="preserve"> al.</w:t>
      </w:r>
      <w:r w:rsidRPr="00112DB6">
        <w:rPr>
          <w:rFonts w:cstheme="minorHAnsi"/>
          <w:vertAlign w:val="superscript"/>
          <w:lang w:val="en-US"/>
        </w:rPr>
        <w:t>25</w:t>
      </w:r>
      <w:r w:rsidRPr="00112DB6">
        <w:rPr>
          <w:rFonts w:cstheme="minorHAnsi"/>
          <w:lang w:val="en-US"/>
        </w:rPr>
        <w:t xml:space="preserve"> </w:t>
      </w:r>
      <w:proofErr w:type="spellStart"/>
      <w:r w:rsidRPr="00112DB6">
        <w:rPr>
          <w:rFonts w:cstheme="minorHAnsi"/>
          <w:lang w:val="en-US"/>
        </w:rPr>
        <w:t>Combescure</w:t>
      </w:r>
      <w:proofErr w:type="spellEnd"/>
      <w:r w:rsidRPr="00112DB6">
        <w:rPr>
          <w:rFonts w:cstheme="minorHAnsi"/>
          <w:lang w:val="en-US"/>
        </w:rPr>
        <w:t xml:space="preserve"> proposed the random-effects meta-analysis of survival curves by using the </w:t>
      </w:r>
      <w:proofErr w:type="spellStart"/>
      <w:r w:rsidRPr="00112DB6">
        <w:rPr>
          <w:rFonts w:cstheme="minorHAnsi"/>
          <w:lang w:val="en-US"/>
        </w:rPr>
        <w:t>DerSimonian</w:t>
      </w:r>
      <w:proofErr w:type="spellEnd"/>
      <w:r w:rsidRPr="00112DB6">
        <w:rPr>
          <w:rFonts w:cstheme="minorHAnsi"/>
          <w:lang w:val="en-US"/>
        </w:rPr>
        <w:t xml:space="preserve"> and Laird multivariate procedure</w:t>
      </w:r>
      <w:r w:rsidRPr="00112DB6">
        <w:rPr>
          <w:rFonts w:cstheme="minorHAnsi"/>
          <w:vertAlign w:val="superscript"/>
          <w:lang w:val="en-US"/>
        </w:rPr>
        <w:t>26</w:t>
      </w:r>
      <w:r w:rsidRPr="00112DB6">
        <w:rPr>
          <w:rFonts w:cstheme="minorHAnsi"/>
          <w:lang w:val="en-US"/>
        </w:rPr>
        <w:t xml:space="preserve"> on arc-sine transformations of the conditional survival probabilities with a continuity correction of 0.25. </w:t>
      </w:r>
      <w:r w:rsidRPr="00112DB6">
        <w:rPr>
          <w:rFonts w:cstheme="minorHAnsi"/>
          <w:color w:val="000000" w:themeColor="text1"/>
          <w:lang w:val="en-US"/>
        </w:rPr>
        <w:t xml:space="preserve">However, when analyzed by individual CA subgroups, low numbers of cases in each registry </w:t>
      </w:r>
      <w:r w:rsidRPr="00112DB6">
        <w:rPr>
          <w:rFonts w:cstheme="minorHAnsi"/>
          <w:color w:val="000000" w:themeColor="text1"/>
          <w:lang w:val="en-US"/>
        </w:rPr>
        <w:lastRenderedPageBreak/>
        <w:t xml:space="preserve">and relatively low death </w:t>
      </w:r>
      <w:proofErr w:type="gramStart"/>
      <w:r w:rsidRPr="00112DB6">
        <w:rPr>
          <w:rFonts w:cstheme="minorHAnsi"/>
          <w:color w:val="000000" w:themeColor="text1"/>
          <w:lang w:val="en-US"/>
        </w:rPr>
        <w:t>rates for certain</w:t>
      </w:r>
      <w:proofErr w:type="gramEnd"/>
      <w:r w:rsidRPr="00112DB6">
        <w:rPr>
          <w:rFonts w:cstheme="minorHAnsi"/>
          <w:color w:val="000000" w:themeColor="text1"/>
          <w:lang w:val="en-US"/>
        </w:rPr>
        <w:t xml:space="preserve"> CA subgroups resulted in 100% survival for all registries for certain age years. By applying the method above, the model estimated a decrease in survival at these ages despite no deaths occurring, resulting in an underestimation of the overall survival. We therefore applied three adaptations. Firstly, </w:t>
      </w:r>
      <w:r w:rsidRPr="00112DB6">
        <w:rPr>
          <w:color w:val="000000" w:themeColor="text1"/>
          <w:lang w:val="en-US"/>
        </w:rPr>
        <w:t xml:space="preserve">instead of using the fixed continuity correction of 0.25 within the arc-sine transformation, a variable continuity correction equal to 1/n (the number of children alive at the start of the period) </w:t>
      </w:r>
      <w:proofErr w:type="gramStart"/>
      <w:r w:rsidRPr="00112DB6">
        <w:rPr>
          <w:color w:val="000000" w:themeColor="text1"/>
          <w:lang w:val="en-US"/>
        </w:rPr>
        <w:t>was used</w:t>
      </w:r>
      <w:proofErr w:type="gramEnd"/>
      <w:r w:rsidRPr="00112DB6">
        <w:rPr>
          <w:color w:val="000000" w:themeColor="text1"/>
          <w:lang w:val="en-US"/>
        </w:rPr>
        <w:t xml:space="preserve">. </w:t>
      </w:r>
      <w:r w:rsidRPr="00112DB6">
        <w:rPr>
          <w:lang w:val="en-US"/>
        </w:rPr>
        <w:t>This allowed the continuity correction to shrink with increasing sample sizes, while simultaneously reducing the overweighting of high survivals when sample sizes are small, which occurs due to the multivariate meta-analytic technique.</w:t>
      </w:r>
      <w:r w:rsidRPr="00112DB6">
        <w:rPr>
          <w:color w:val="000000" w:themeColor="text1"/>
          <w:lang w:val="en-US"/>
        </w:rPr>
        <w:t xml:space="preserve"> This reduced the bias introduced into the country-level estimates when their samples sizes were six children and above. Secondly, </w:t>
      </w:r>
      <w:r w:rsidRPr="00112DB6">
        <w:rPr>
          <w:rFonts w:cstheme="minorHAnsi"/>
          <w:color w:val="000000" w:themeColor="text1"/>
          <w:lang w:val="en-US"/>
        </w:rPr>
        <w:t xml:space="preserve">data </w:t>
      </w:r>
      <w:proofErr w:type="gramStart"/>
      <w:r w:rsidRPr="00112DB6">
        <w:rPr>
          <w:rFonts w:cstheme="minorHAnsi"/>
          <w:color w:val="000000" w:themeColor="text1"/>
          <w:lang w:val="en-US"/>
        </w:rPr>
        <w:t>were excluded</w:t>
      </w:r>
      <w:proofErr w:type="gramEnd"/>
      <w:r w:rsidRPr="00112DB6">
        <w:rPr>
          <w:rFonts w:cstheme="minorHAnsi"/>
          <w:color w:val="000000" w:themeColor="text1"/>
          <w:lang w:val="en-US"/>
        </w:rPr>
        <w:t xml:space="preserve"> from the analysis if there were less than six children alive with the specified anomaly in a registry at a certain age. </w:t>
      </w:r>
      <w:r w:rsidRPr="00112DB6">
        <w:rPr>
          <w:color w:val="000000" w:themeColor="text1"/>
          <w:lang w:val="en-US"/>
        </w:rPr>
        <w:t xml:space="preserve">This was required as even the variable 1/n continuity correction still introduced bias for sample sizes below six. </w:t>
      </w:r>
      <w:r w:rsidRPr="00112DB6">
        <w:rPr>
          <w:rFonts w:cstheme="minorHAnsi"/>
          <w:color w:val="000000" w:themeColor="text1"/>
          <w:lang w:val="en-US"/>
        </w:rPr>
        <w:t xml:space="preserve">Thirdly, if no deaths occurred in any of the registries after a certain age, the overall survival for the remaining ages was imputed as the survival rate for the previous </w:t>
      </w:r>
      <w:proofErr w:type="gramStart"/>
      <w:r w:rsidRPr="00112DB6">
        <w:rPr>
          <w:rFonts w:cstheme="minorHAnsi"/>
          <w:color w:val="000000" w:themeColor="text1"/>
          <w:lang w:val="en-US"/>
        </w:rPr>
        <w:t>time period</w:t>
      </w:r>
      <w:proofErr w:type="gramEnd"/>
      <w:r w:rsidRPr="00112DB6">
        <w:rPr>
          <w:rFonts w:cstheme="minorHAnsi"/>
          <w:color w:val="000000" w:themeColor="text1"/>
          <w:lang w:val="en-US"/>
        </w:rPr>
        <w:t xml:space="preserve">. This is a logical assumption as no deaths </w:t>
      </w:r>
      <w:proofErr w:type="gramStart"/>
      <w:r w:rsidRPr="00112DB6">
        <w:rPr>
          <w:rFonts w:cstheme="minorHAnsi"/>
          <w:color w:val="000000" w:themeColor="text1"/>
          <w:lang w:val="en-US"/>
        </w:rPr>
        <w:t>had been observed</w:t>
      </w:r>
      <w:proofErr w:type="gramEnd"/>
      <w:r w:rsidRPr="00112DB6">
        <w:rPr>
          <w:rFonts w:cstheme="minorHAnsi"/>
          <w:color w:val="000000" w:themeColor="text1"/>
          <w:lang w:val="en-US"/>
        </w:rPr>
        <w:t>.</w:t>
      </w:r>
      <w:r w:rsidRPr="00112DB6">
        <w:rPr>
          <w:color w:val="000000" w:themeColor="text1"/>
          <w:lang w:val="en-US"/>
        </w:rPr>
        <w:t xml:space="preserve"> In scenarios where there were no deaths in any registry during specific ages (for example ages </w:t>
      </w:r>
      <w:proofErr w:type="gramStart"/>
      <w:r w:rsidRPr="00112DB6">
        <w:rPr>
          <w:color w:val="000000" w:themeColor="text1"/>
          <w:lang w:val="en-US"/>
        </w:rPr>
        <w:t>3</w:t>
      </w:r>
      <w:proofErr w:type="gramEnd"/>
      <w:r w:rsidRPr="00112DB6">
        <w:rPr>
          <w:color w:val="000000" w:themeColor="text1"/>
          <w:lang w:val="en-US"/>
        </w:rPr>
        <w:t xml:space="preserve"> and 4), but deaths did occur in later time periods, the meta-analyses were run on a reduced number of time points to limit the prevalence of the “no death” time periods. In these scenarios, instead of the nine yearly time points (2-10) average survival </w:t>
      </w:r>
      <w:proofErr w:type="gramStart"/>
      <w:r w:rsidRPr="00112DB6">
        <w:rPr>
          <w:color w:val="000000" w:themeColor="text1"/>
          <w:lang w:val="en-US"/>
        </w:rPr>
        <w:t>was calculated</w:t>
      </w:r>
      <w:proofErr w:type="gramEnd"/>
      <w:r w:rsidRPr="00112DB6">
        <w:rPr>
          <w:color w:val="000000" w:themeColor="text1"/>
          <w:lang w:val="en-US"/>
        </w:rPr>
        <w:t xml:space="preserve"> between ages 1-5 and 6-10. This preserved the use of all the data but reduced the number of time points in which continuity corrections would introduce significant bias. All meta-analyses </w:t>
      </w:r>
      <w:proofErr w:type="gramStart"/>
      <w:r w:rsidRPr="00112DB6">
        <w:rPr>
          <w:color w:val="000000" w:themeColor="text1"/>
          <w:lang w:val="en-US"/>
        </w:rPr>
        <w:t>were performed</w:t>
      </w:r>
      <w:proofErr w:type="gramEnd"/>
      <w:r w:rsidRPr="00112DB6">
        <w:rPr>
          <w:color w:val="000000" w:themeColor="text1"/>
          <w:lang w:val="en-US"/>
        </w:rPr>
        <w:t xml:space="preserve"> using R software.</w:t>
      </w:r>
    </w:p>
    <w:p w14:paraId="2E605E75" w14:textId="77777777" w:rsidR="0064507B" w:rsidRPr="00112DB6" w:rsidRDefault="0064507B" w:rsidP="00BA55DA">
      <w:pPr>
        <w:spacing w:before="0" w:after="0"/>
        <w:rPr>
          <w:rFonts w:cstheme="minorHAnsi"/>
          <w:lang w:val="en-US"/>
        </w:rPr>
      </w:pPr>
      <w:bookmarkStart w:id="6" w:name="_Hlk71878580"/>
      <w:r w:rsidRPr="00112DB6">
        <w:rPr>
          <w:rFonts w:cstheme="minorHAnsi"/>
          <w:lang w:val="en-US"/>
        </w:rPr>
        <w:t xml:space="preserve">Sensitivity analyses </w:t>
      </w:r>
      <w:proofErr w:type="gramStart"/>
      <w:r w:rsidRPr="00112DB6">
        <w:rPr>
          <w:rFonts w:cstheme="minorHAnsi"/>
          <w:lang w:val="en-US"/>
        </w:rPr>
        <w:t>were performed</w:t>
      </w:r>
      <w:proofErr w:type="gramEnd"/>
      <w:r w:rsidRPr="00112DB6">
        <w:rPr>
          <w:rFonts w:cstheme="minorHAnsi"/>
          <w:lang w:val="en-US"/>
        </w:rPr>
        <w:t xml:space="preserve"> excluding each registry in turn to determine if the overall survival estimates differed significantly. </w:t>
      </w:r>
    </w:p>
    <w:bookmarkEnd w:id="6"/>
    <w:p w14:paraId="42147815" w14:textId="77777777" w:rsidR="0064507B" w:rsidRPr="00112DB6" w:rsidRDefault="0064507B" w:rsidP="00BA55DA">
      <w:pPr>
        <w:spacing w:before="240" w:after="0"/>
        <w:rPr>
          <w:rFonts w:cstheme="minorHAnsi"/>
          <w:b/>
          <w:bCs/>
          <w:lang w:val="en-US"/>
        </w:rPr>
      </w:pPr>
      <w:r w:rsidRPr="00112DB6">
        <w:rPr>
          <w:rFonts w:cstheme="minorHAnsi"/>
          <w:b/>
          <w:bCs/>
          <w:lang w:val="en-US"/>
        </w:rPr>
        <w:t>Comparison of 10-year survival between different congenital anomaly groups</w:t>
      </w:r>
    </w:p>
    <w:p w14:paraId="264FA5B5" w14:textId="77777777" w:rsidR="0064507B" w:rsidRPr="00112DB6" w:rsidRDefault="0064507B" w:rsidP="00BA55DA">
      <w:pPr>
        <w:spacing w:before="0" w:after="0"/>
        <w:jc w:val="both"/>
        <w:rPr>
          <w:lang w:val="en-US"/>
        </w:rPr>
      </w:pPr>
      <w:r w:rsidRPr="00112DB6">
        <w:rPr>
          <w:lang w:val="en-US"/>
        </w:rPr>
        <w:lastRenderedPageBreak/>
        <w:t xml:space="preserve">Four independent categories of children with Down syndrome were analyzed: those without associated CHD or digestive system anomaly, those with only a CHD, those with only a digestive system anomaly and those with both (other less common associated CAs were not considered). The 10-year survival estimates for each registry </w:t>
      </w:r>
      <w:proofErr w:type="gramStart"/>
      <w:r w:rsidRPr="00112DB6">
        <w:rPr>
          <w:lang w:val="en-US"/>
        </w:rPr>
        <w:t>were analyzed</w:t>
      </w:r>
      <w:proofErr w:type="gramEnd"/>
      <w:r w:rsidRPr="00112DB6">
        <w:rPr>
          <w:lang w:val="en-US"/>
        </w:rPr>
        <w:t xml:space="preserve"> using a random-effects meta-analysis comparing the three Down syndrome groups with an associated CHD and/or digestive system anomaly with the group without any of these CAs. </w:t>
      </w:r>
    </w:p>
    <w:p w14:paraId="5894CFB1" w14:textId="77777777" w:rsidR="0064507B" w:rsidRPr="00112DB6" w:rsidRDefault="0064507B" w:rsidP="00D00E86">
      <w:pPr>
        <w:spacing w:before="360" w:after="0"/>
        <w:jc w:val="both"/>
        <w:rPr>
          <w:lang w:val="en-US"/>
        </w:rPr>
      </w:pPr>
      <w:r w:rsidRPr="00112DB6">
        <w:rPr>
          <w:lang w:val="en-US"/>
        </w:rPr>
        <w:t xml:space="preserve">Ten-year survival estimates with 95% CI for ‘Isolated’ and for </w:t>
      </w:r>
      <w:r w:rsidRPr="00112DB6">
        <w:rPr>
          <w:bCs/>
          <w:lang w:val="en-US"/>
        </w:rPr>
        <w:t xml:space="preserve">‘All’ groups </w:t>
      </w:r>
      <w:r w:rsidRPr="00112DB6">
        <w:rPr>
          <w:lang w:val="en-US"/>
        </w:rPr>
        <w:t>were plotted for selected CAs. No formal statistical tests were performed as the ‘All’ group included children in the ‘Isolated’ group.</w:t>
      </w:r>
    </w:p>
    <w:p w14:paraId="5FF0A951" w14:textId="77777777" w:rsidR="0064507B" w:rsidRPr="00112DB6" w:rsidRDefault="0064507B" w:rsidP="00BA55DA">
      <w:pPr>
        <w:spacing w:before="360" w:after="0"/>
        <w:jc w:val="both"/>
        <w:rPr>
          <w:rFonts w:cs="AdvMINION-R"/>
          <w:szCs w:val="24"/>
          <w:lang w:val="en-US"/>
        </w:rPr>
      </w:pPr>
      <w:r w:rsidRPr="00112DB6">
        <w:rPr>
          <w:rFonts w:cs="Times New Roman"/>
          <w:szCs w:val="24"/>
          <w:lang w:val="en-US"/>
        </w:rPr>
        <w:t>Stata v16 (</w:t>
      </w:r>
      <w:proofErr w:type="spellStart"/>
      <w:r w:rsidRPr="00112DB6">
        <w:rPr>
          <w:lang w:val="en-US"/>
        </w:rPr>
        <w:t>StataCorp</w:t>
      </w:r>
      <w:proofErr w:type="spellEnd"/>
      <w:r w:rsidRPr="00112DB6">
        <w:rPr>
          <w:lang w:val="en-US"/>
        </w:rPr>
        <w:t xml:space="preserve"> LLC, 2019) was used for the above comparisons.</w:t>
      </w:r>
    </w:p>
    <w:p w14:paraId="2E9C7779" w14:textId="77777777" w:rsidR="0064507B" w:rsidRPr="00112DB6" w:rsidRDefault="0064507B" w:rsidP="00BA55DA">
      <w:pPr>
        <w:pStyle w:val="Heading1"/>
        <w:pageBreakBefore w:val="0"/>
        <w:rPr>
          <w:rFonts w:cs="Times New Roman"/>
          <w:sz w:val="28"/>
          <w:szCs w:val="28"/>
          <w:lang w:val="en-US"/>
        </w:rPr>
      </w:pPr>
      <w:r w:rsidRPr="00112DB6">
        <w:rPr>
          <w:rFonts w:cs="Times New Roman"/>
          <w:bCs/>
          <w:sz w:val="28"/>
          <w:szCs w:val="28"/>
          <w:lang w:val="en-US"/>
        </w:rPr>
        <w:t>RESULTS</w:t>
      </w:r>
    </w:p>
    <w:p w14:paraId="43A017C7" w14:textId="77777777" w:rsidR="0064507B" w:rsidRPr="00112DB6" w:rsidRDefault="0064507B" w:rsidP="00BA55DA">
      <w:pPr>
        <w:spacing w:before="240" w:after="0"/>
        <w:rPr>
          <w:rFonts w:cs="Times New Roman"/>
          <w:color w:val="000000"/>
          <w:szCs w:val="24"/>
          <w:lang w:val="en-US"/>
        </w:rPr>
      </w:pPr>
      <w:r w:rsidRPr="00112DB6">
        <w:rPr>
          <w:rFonts w:cs="Times New Roman"/>
          <w:szCs w:val="24"/>
          <w:lang w:val="en-US"/>
        </w:rPr>
        <w:t xml:space="preserve">Table </w:t>
      </w:r>
      <w:proofErr w:type="gramStart"/>
      <w:r w:rsidRPr="00112DB6">
        <w:rPr>
          <w:rFonts w:cs="Times New Roman"/>
          <w:szCs w:val="24"/>
          <w:lang w:val="en-US"/>
        </w:rPr>
        <w:t>1</w:t>
      </w:r>
      <w:proofErr w:type="gramEnd"/>
      <w:r w:rsidRPr="00112DB6">
        <w:rPr>
          <w:rFonts w:cs="Times New Roman"/>
          <w:szCs w:val="24"/>
          <w:lang w:val="en-US"/>
        </w:rPr>
        <w:t xml:space="preserve"> shows that 13 registries from nine countries covering a population of </w:t>
      </w:r>
      <w:r w:rsidRPr="00112DB6">
        <w:rPr>
          <w:rFonts w:cs="Times New Roman"/>
          <w:color w:val="000000"/>
          <w:szCs w:val="24"/>
          <w:lang w:val="en-US"/>
        </w:rPr>
        <w:t xml:space="preserve">4 218 786 births during 2005-2014 provided survival data for </w:t>
      </w:r>
      <w:r w:rsidRPr="00112DB6">
        <w:rPr>
          <w:rFonts w:cs="Times New Roman"/>
          <w:szCs w:val="24"/>
          <w:lang w:val="en-US"/>
        </w:rPr>
        <w:t xml:space="preserve">96 263 </w:t>
      </w:r>
      <w:r w:rsidRPr="00112DB6">
        <w:rPr>
          <w:rFonts w:cs="Times New Roman"/>
          <w:color w:val="000000"/>
          <w:szCs w:val="24"/>
          <w:lang w:val="en-US"/>
        </w:rPr>
        <w:t xml:space="preserve">live births with a major CA. </w:t>
      </w:r>
    </w:p>
    <w:p w14:paraId="6FBCF752" w14:textId="427FF6E9" w:rsidR="0064507B" w:rsidRPr="00112DB6" w:rsidRDefault="0064507B" w:rsidP="00145C6E">
      <w:pPr>
        <w:spacing w:before="360" w:after="0"/>
        <w:rPr>
          <w:rFonts w:cs="Times New Roman"/>
          <w:szCs w:val="24"/>
          <w:lang w:val="en-US"/>
        </w:rPr>
      </w:pPr>
      <w:r w:rsidRPr="00112DB6">
        <w:rPr>
          <w:rFonts w:cs="Times New Roman"/>
          <w:szCs w:val="24"/>
          <w:lang w:val="en-US"/>
        </w:rPr>
        <w:t>Table 2 shows pooled survival estimates (with 95% CI) from 1 week to 10 years of age for children in the ‘Isolated’ group (n=77 054) in 32 specific CA subgroups. Overall, 10-year survival of children with any isolated CA was 96.9% (95% CI</w:t>
      </w:r>
      <w:r w:rsidR="00187E7B">
        <w:rPr>
          <w:rFonts w:cs="Times New Roman"/>
          <w:szCs w:val="24"/>
          <w:lang w:val="en-US"/>
        </w:rPr>
        <w:t>:</w:t>
      </w:r>
      <w:r w:rsidRPr="00112DB6">
        <w:rPr>
          <w:rFonts w:cs="Times New Roman"/>
          <w:szCs w:val="24"/>
          <w:lang w:val="en-US"/>
        </w:rPr>
        <w:t xml:space="preserve"> 96.0-97.7). As expected, the highest mortality was within the first year of life; survival did not substantially decline after the first year for most CA subgroups. There was considerable variation in survival between individual CA subgroups. Ten-year survival varied from 51.6% (95% CI</w:t>
      </w:r>
      <w:r w:rsidR="00187E7B">
        <w:rPr>
          <w:rFonts w:cs="Times New Roman"/>
          <w:szCs w:val="24"/>
          <w:lang w:val="en-US"/>
        </w:rPr>
        <w:t>:</w:t>
      </w:r>
      <w:r w:rsidRPr="00112DB6">
        <w:rPr>
          <w:rFonts w:cs="Times New Roman"/>
          <w:szCs w:val="24"/>
          <w:lang w:val="en-US"/>
        </w:rPr>
        <w:t xml:space="preserve"> 44.9-59.4) for </w:t>
      </w:r>
      <w:proofErr w:type="spellStart"/>
      <w:r w:rsidRPr="00112DB6">
        <w:rPr>
          <w:rFonts w:cs="Times New Roman"/>
          <w:szCs w:val="24"/>
          <w:lang w:val="en-US"/>
        </w:rPr>
        <w:t>hypoplastic</w:t>
      </w:r>
      <w:proofErr w:type="spellEnd"/>
      <w:r w:rsidRPr="00112DB6">
        <w:rPr>
          <w:rFonts w:cs="Times New Roman"/>
          <w:szCs w:val="24"/>
          <w:lang w:val="en-US"/>
        </w:rPr>
        <w:t xml:space="preserve"> left heart (HLH) to 99.8% (95% CI</w:t>
      </w:r>
      <w:r w:rsidR="00187E7B">
        <w:rPr>
          <w:rFonts w:cs="Times New Roman"/>
          <w:szCs w:val="24"/>
          <w:lang w:val="en-US"/>
        </w:rPr>
        <w:t>:</w:t>
      </w:r>
      <w:r w:rsidRPr="00112DB6">
        <w:rPr>
          <w:rFonts w:cs="Times New Roman"/>
          <w:szCs w:val="24"/>
          <w:lang w:val="en-US"/>
        </w:rPr>
        <w:t xml:space="preserve"> 99.6-100.0) for cleft lip with/without cleft palate. Overall, 10-year survival across Europe was over 90% for all but five isolated CA subgroups analyzed (27/32). </w:t>
      </w:r>
    </w:p>
    <w:p w14:paraId="3F68F050" w14:textId="34F0DB5E" w:rsidR="0064507B" w:rsidRPr="00112DB6" w:rsidRDefault="0064507B" w:rsidP="00BA55DA">
      <w:pPr>
        <w:spacing w:before="360" w:after="0"/>
        <w:rPr>
          <w:lang w:val="en-US"/>
        </w:rPr>
      </w:pPr>
      <w:r w:rsidRPr="00112DB6">
        <w:rPr>
          <w:lang w:val="en-US"/>
        </w:rPr>
        <w:lastRenderedPageBreak/>
        <w:t xml:space="preserve">Table 2 also shows survival for children with Down syndrome </w:t>
      </w:r>
      <w:r w:rsidRPr="00112DB6">
        <w:rPr>
          <w:rFonts w:cs="Times New Roman"/>
          <w:szCs w:val="24"/>
          <w:lang w:val="en-US"/>
        </w:rPr>
        <w:t xml:space="preserve">(n=4011) </w:t>
      </w:r>
      <w:r w:rsidRPr="00112DB6">
        <w:rPr>
          <w:lang w:val="en-US"/>
        </w:rPr>
        <w:t xml:space="preserve">with or without CHD or digestive system anomaly. </w:t>
      </w:r>
      <w:proofErr w:type="gramStart"/>
      <w:r w:rsidRPr="00112DB6">
        <w:rPr>
          <w:lang w:val="en-US"/>
        </w:rPr>
        <w:t xml:space="preserve">Compared to the highest 10-year survival in children with Down syndrome without associated CHD or digestive system anomaly of </w:t>
      </w:r>
      <w:r w:rsidRPr="00112DB6">
        <w:rPr>
          <w:rFonts w:cs="Times New Roman"/>
          <w:szCs w:val="24"/>
          <w:lang w:val="en-US"/>
        </w:rPr>
        <w:t>97.6% (95% CI</w:t>
      </w:r>
      <w:r w:rsidR="00187E7B">
        <w:rPr>
          <w:rFonts w:cs="Times New Roman"/>
          <w:szCs w:val="24"/>
          <w:lang w:val="en-US"/>
        </w:rPr>
        <w:t>:</w:t>
      </w:r>
      <w:r w:rsidRPr="00112DB6">
        <w:rPr>
          <w:rFonts w:cs="Times New Roman"/>
          <w:szCs w:val="24"/>
          <w:lang w:val="en-US"/>
        </w:rPr>
        <w:t xml:space="preserve"> 96.5-98.7)</w:t>
      </w:r>
      <w:r w:rsidRPr="00112DB6">
        <w:rPr>
          <w:lang w:val="en-US"/>
        </w:rPr>
        <w:t xml:space="preserve">, survival was significantly lower when Down syndrome </w:t>
      </w:r>
      <w:r w:rsidRPr="00112DB6">
        <w:rPr>
          <w:color w:val="000000"/>
          <w:bdr w:val="none" w:sz="0" w:space="0" w:color="auto" w:frame="1"/>
          <w:shd w:val="clear" w:color="auto" w:fill="FFFFFF"/>
          <w:lang w:val="en-US"/>
        </w:rPr>
        <w:t xml:space="preserve">was associated </w:t>
      </w:r>
      <w:r w:rsidRPr="00112DB6">
        <w:rPr>
          <w:lang w:val="en-US"/>
        </w:rPr>
        <w:t xml:space="preserve">with any CHD but not digestive system anomaly </w:t>
      </w:r>
      <w:r w:rsidRPr="00112DB6">
        <w:rPr>
          <w:color w:val="000000"/>
          <w:bdr w:val="none" w:sz="0" w:space="0" w:color="auto" w:frame="1"/>
          <w:shd w:val="clear" w:color="auto" w:fill="FFFFFF"/>
          <w:lang w:val="en-US"/>
        </w:rPr>
        <w:t>(</w:t>
      </w:r>
      <w:r w:rsidRPr="00112DB6">
        <w:rPr>
          <w:i/>
          <w:iCs/>
          <w:caps/>
          <w:color w:val="000000"/>
          <w:bdr w:val="none" w:sz="0" w:space="0" w:color="auto" w:frame="1"/>
          <w:shd w:val="clear" w:color="auto" w:fill="FFFFFF"/>
          <w:lang w:val="en-US"/>
        </w:rPr>
        <w:t>P</w:t>
      </w:r>
      <w:r w:rsidRPr="00112DB6">
        <w:rPr>
          <w:color w:val="000000"/>
          <w:bdr w:val="none" w:sz="0" w:space="0" w:color="auto" w:frame="1"/>
          <w:shd w:val="clear" w:color="auto" w:fill="FFFFFF"/>
          <w:lang w:val="en-US"/>
        </w:rPr>
        <w:t>&lt;0.001), with any digestive system anomaly but not CHD (</w:t>
      </w:r>
      <w:r w:rsidRPr="00112DB6">
        <w:rPr>
          <w:i/>
          <w:iCs/>
          <w:caps/>
          <w:color w:val="000000"/>
          <w:bdr w:val="none" w:sz="0" w:space="0" w:color="auto" w:frame="1"/>
          <w:shd w:val="clear" w:color="auto" w:fill="FFFFFF"/>
          <w:lang w:val="en-US"/>
        </w:rPr>
        <w:t>P</w:t>
      </w:r>
      <w:r w:rsidRPr="00112DB6">
        <w:rPr>
          <w:color w:val="000000"/>
          <w:bdr w:val="none" w:sz="0" w:space="0" w:color="auto" w:frame="1"/>
          <w:shd w:val="clear" w:color="auto" w:fill="FFFFFF"/>
          <w:lang w:val="en-US"/>
        </w:rPr>
        <w:t>=0.018), and with both CHD and digestive system anomaly (</w:t>
      </w:r>
      <w:r w:rsidRPr="00112DB6">
        <w:rPr>
          <w:i/>
          <w:iCs/>
          <w:caps/>
          <w:color w:val="000000"/>
          <w:bdr w:val="none" w:sz="0" w:space="0" w:color="auto" w:frame="1"/>
          <w:shd w:val="clear" w:color="auto" w:fill="FFFFFF"/>
          <w:lang w:val="en-US"/>
        </w:rPr>
        <w:t>P&lt;</w:t>
      </w:r>
      <w:r w:rsidRPr="00112DB6">
        <w:rPr>
          <w:caps/>
          <w:color w:val="000000"/>
          <w:bdr w:val="none" w:sz="0" w:space="0" w:color="auto" w:frame="1"/>
          <w:shd w:val="clear" w:color="auto" w:fill="FFFFFF"/>
          <w:lang w:val="en-US"/>
        </w:rPr>
        <w:t>0</w:t>
      </w:r>
      <w:r w:rsidRPr="00112DB6">
        <w:rPr>
          <w:color w:val="000000"/>
          <w:bdr w:val="none" w:sz="0" w:space="0" w:color="auto" w:frame="1"/>
          <w:shd w:val="clear" w:color="auto" w:fill="FFFFFF"/>
          <w:lang w:val="en-US"/>
        </w:rPr>
        <w:t>.001)</w:t>
      </w:r>
      <w:r w:rsidRPr="00112DB6">
        <w:rPr>
          <w:lang w:val="en-US"/>
        </w:rPr>
        <w:t>.</w:t>
      </w:r>
      <w:proofErr w:type="gramEnd"/>
    </w:p>
    <w:p w14:paraId="37D7F9B7" w14:textId="77777777" w:rsidR="0064507B" w:rsidRPr="00112DB6" w:rsidRDefault="0064507B" w:rsidP="00BA55DA">
      <w:pPr>
        <w:spacing w:before="360" w:after="0"/>
        <w:rPr>
          <w:lang w:val="en-US"/>
        </w:rPr>
      </w:pPr>
      <w:bookmarkStart w:id="7" w:name="_Hlk74668499"/>
      <w:r w:rsidRPr="00112DB6">
        <w:rPr>
          <w:rFonts w:cstheme="minorHAnsi"/>
          <w:lang w:val="en-US"/>
        </w:rPr>
        <w:t xml:space="preserve">In the </w:t>
      </w:r>
      <w:r w:rsidRPr="00112DB6">
        <w:rPr>
          <w:rFonts w:eastAsiaTheme="minorHAnsi" w:cs="Times New Roman"/>
          <w:color w:val="000000" w:themeColor="text1"/>
          <w:szCs w:val="24"/>
          <w:lang w:val="en-US"/>
        </w:rPr>
        <w:t>sensitivity analysis,</w:t>
      </w:r>
      <w:r w:rsidRPr="00112DB6">
        <w:rPr>
          <w:rFonts w:cstheme="minorHAnsi"/>
          <w:lang w:val="en-US"/>
        </w:rPr>
        <w:t xml:space="preserve"> the pooled survival estimates</w:t>
      </w:r>
      <w:r w:rsidRPr="00112DB6">
        <w:rPr>
          <w:rFonts w:eastAsiaTheme="minorHAnsi" w:cs="Times New Roman"/>
          <w:color w:val="000000" w:themeColor="text1"/>
          <w:szCs w:val="24"/>
          <w:lang w:val="en-US"/>
        </w:rPr>
        <w:t xml:space="preserve"> were robust to the exclusion of data from individual registries for most specific CAs (within ±2.5%, but mostly within ±1%), except for severe microcephaly (Wales registry: 5.7%) and HLH (Finland registry: 3.6%) </w:t>
      </w:r>
      <w:bookmarkEnd w:id="7"/>
      <w:r w:rsidRPr="00112DB6">
        <w:rPr>
          <w:rFonts w:cstheme="minorHAnsi"/>
          <w:lang w:val="en-US"/>
        </w:rPr>
        <w:t>(</w:t>
      </w:r>
      <w:r w:rsidRPr="00112DB6">
        <w:rPr>
          <w:rFonts w:cs="Times New Roman"/>
          <w:szCs w:val="24"/>
          <w:lang w:val="en-US"/>
        </w:rPr>
        <w:t>Supplemental</w:t>
      </w:r>
      <w:r w:rsidRPr="00112DB6">
        <w:rPr>
          <w:rFonts w:cs="Times New Roman"/>
          <w:b/>
          <w:bCs/>
          <w:szCs w:val="24"/>
          <w:lang w:val="en-US"/>
        </w:rPr>
        <w:t xml:space="preserve"> </w:t>
      </w:r>
      <w:r w:rsidRPr="00112DB6">
        <w:rPr>
          <w:rFonts w:cstheme="minorHAnsi"/>
          <w:lang w:val="en-US"/>
        </w:rPr>
        <w:t>Table 2).</w:t>
      </w:r>
    </w:p>
    <w:p w14:paraId="7393B459" w14:textId="77777777" w:rsidR="0064507B" w:rsidRPr="00112DB6" w:rsidRDefault="0064507B" w:rsidP="00BA55DA">
      <w:pPr>
        <w:spacing w:before="360" w:after="0"/>
        <w:rPr>
          <w:rFonts w:cs="Times New Roman"/>
          <w:sz w:val="22"/>
          <w:lang w:val="en-US"/>
        </w:rPr>
      </w:pPr>
      <w:bookmarkStart w:id="8" w:name="_Hlk84595927"/>
      <w:r w:rsidRPr="00112DB6">
        <w:rPr>
          <w:rFonts w:cs="Times New Roman"/>
          <w:szCs w:val="24"/>
          <w:lang w:val="en-US"/>
        </w:rPr>
        <w:t xml:space="preserve">Table </w:t>
      </w:r>
      <w:proofErr w:type="gramStart"/>
      <w:r w:rsidRPr="00112DB6">
        <w:rPr>
          <w:rFonts w:cs="Times New Roman"/>
          <w:szCs w:val="24"/>
          <w:lang w:val="en-US"/>
        </w:rPr>
        <w:t>3</w:t>
      </w:r>
      <w:proofErr w:type="gramEnd"/>
      <w:r w:rsidRPr="00112DB6">
        <w:rPr>
          <w:rFonts w:cs="Times New Roman"/>
          <w:szCs w:val="24"/>
          <w:lang w:val="en-US"/>
        </w:rPr>
        <w:t xml:space="preserve"> shows 10-year survival estimates for</w:t>
      </w:r>
      <w:r w:rsidRPr="00112DB6">
        <w:rPr>
          <w:bCs/>
          <w:lang w:val="en-US"/>
        </w:rPr>
        <w:t xml:space="preserve"> children in the ‘All’ group </w:t>
      </w:r>
      <w:r w:rsidRPr="00112DB6">
        <w:rPr>
          <w:rFonts w:cs="Times New Roman"/>
          <w:szCs w:val="24"/>
          <w:lang w:val="en-US"/>
        </w:rPr>
        <w:t>and the proportion of children with isolated CAs in all live births and deaths with the specified CAs.</w:t>
      </w:r>
      <w:bookmarkEnd w:id="8"/>
      <w:r w:rsidRPr="00112DB6">
        <w:rPr>
          <w:rFonts w:cs="Times New Roman"/>
          <w:szCs w:val="24"/>
          <w:lang w:val="en-US"/>
        </w:rPr>
        <w:t xml:space="preserve"> </w:t>
      </w:r>
      <w:r w:rsidRPr="00112DB6">
        <w:rPr>
          <w:rFonts w:cs="Times New Roman"/>
          <w:color w:val="000000"/>
          <w:szCs w:val="24"/>
          <w:lang w:val="en-US"/>
        </w:rPr>
        <w:t xml:space="preserve">Of </w:t>
      </w:r>
      <w:proofErr w:type="gramStart"/>
      <w:r w:rsidRPr="00112DB6">
        <w:rPr>
          <w:rFonts w:cs="Times New Roman"/>
          <w:color w:val="000000"/>
          <w:szCs w:val="24"/>
          <w:lang w:val="en-US"/>
        </w:rPr>
        <w:t>a total of 4214</w:t>
      </w:r>
      <w:proofErr w:type="gramEnd"/>
      <w:r w:rsidRPr="00112DB6">
        <w:rPr>
          <w:rFonts w:cs="Times New Roman"/>
          <w:color w:val="000000"/>
          <w:szCs w:val="24"/>
          <w:lang w:val="en-US"/>
        </w:rPr>
        <w:t xml:space="preserve"> deaths, 49% occurred in children with CHD and 30% in children with severe CHD; 5.9% of deaths occurred in children with diaphragmatic hernia. Tables </w:t>
      </w:r>
      <w:proofErr w:type="gramStart"/>
      <w:r w:rsidRPr="00112DB6">
        <w:rPr>
          <w:rFonts w:cs="Times New Roman"/>
          <w:color w:val="000000"/>
          <w:szCs w:val="24"/>
          <w:lang w:val="en-US"/>
        </w:rPr>
        <w:t>2</w:t>
      </w:r>
      <w:proofErr w:type="gramEnd"/>
      <w:r w:rsidRPr="00112DB6">
        <w:rPr>
          <w:rFonts w:cs="Times New Roman"/>
          <w:color w:val="000000"/>
          <w:szCs w:val="24"/>
          <w:lang w:val="en-US"/>
        </w:rPr>
        <w:t xml:space="preserve"> and 3 show that 5.4% of all deaths were in children with Down syndrome (226/4214). </w:t>
      </w:r>
      <w:bookmarkStart w:id="9" w:name="_Hlk83275045"/>
      <w:bookmarkStart w:id="10" w:name="_Hlk83215066"/>
      <w:r w:rsidRPr="00112DB6">
        <w:rPr>
          <w:rFonts w:cs="Times New Roman"/>
          <w:szCs w:val="24"/>
          <w:lang w:val="en-US"/>
        </w:rPr>
        <w:t xml:space="preserve">In Table 3 for ‘any CA’, </w:t>
      </w:r>
      <w:bookmarkStart w:id="11" w:name="_Hlk83275967"/>
      <w:r w:rsidRPr="00112DB6">
        <w:rPr>
          <w:rFonts w:cs="Times New Roman"/>
          <w:szCs w:val="24"/>
          <w:lang w:val="en-US"/>
        </w:rPr>
        <w:t xml:space="preserve">although 80% of live births were in children with isolated CAs, only 47.5% of deaths occurred in these children, indicating the higher survival in children with an isolated CA (96.9%, Table 2) compared with `All’ CA (94.8%, Table 3). </w:t>
      </w:r>
      <w:bookmarkStart w:id="12" w:name="_Hlk83275903"/>
      <w:r w:rsidRPr="00112DB6">
        <w:rPr>
          <w:rFonts w:cs="Times New Roman"/>
          <w:szCs w:val="24"/>
          <w:lang w:val="en-US"/>
        </w:rPr>
        <w:t>The proportions of children with isolated CAs in all live births and all deaths differed by CA severity, being more similar for severe CAs (</w:t>
      </w:r>
      <w:proofErr w:type="spellStart"/>
      <w:r w:rsidRPr="00112DB6">
        <w:rPr>
          <w:rFonts w:cs="Times New Roman"/>
          <w:szCs w:val="24"/>
          <w:lang w:val="en-US"/>
        </w:rPr>
        <w:t>eg</w:t>
      </w:r>
      <w:proofErr w:type="spellEnd"/>
      <w:r w:rsidRPr="00112DB6">
        <w:rPr>
          <w:rFonts w:cs="Times New Roman"/>
          <w:szCs w:val="24"/>
          <w:lang w:val="en-US"/>
        </w:rPr>
        <w:t xml:space="preserve">, HLH, atrioventricular septal defect, diaphragmatic hernia). This indicates that for </w:t>
      </w:r>
      <w:proofErr w:type="gramStart"/>
      <w:r w:rsidRPr="00112DB6">
        <w:rPr>
          <w:rFonts w:cs="Times New Roman"/>
          <w:szCs w:val="24"/>
          <w:lang w:val="en-US"/>
        </w:rPr>
        <w:t>these</w:t>
      </w:r>
      <w:proofErr w:type="gramEnd"/>
      <w:r w:rsidRPr="00112DB6">
        <w:rPr>
          <w:rFonts w:cs="Times New Roman"/>
          <w:szCs w:val="24"/>
          <w:lang w:val="en-US"/>
        </w:rPr>
        <w:t xml:space="preserve"> anomalies the death is most likely related to that specific CA, while in other CAs with large differences in proportions, the death is related to the associated anomalies/karyotype defect.  </w:t>
      </w:r>
      <w:bookmarkEnd w:id="9"/>
      <w:bookmarkEnd w:id="10"/>
      <w:bookmarkEnd w:id="11"/>
      <w:bookmarkEnd w:id="12"/>
    </w:p>
    <w:p w14:paraId="047AB67E" w14:textId="77777777" w:rsidR="0064507B" w:rsidRPr="00112DB6" w:rsidRDefault="0064507B" w:rsidP="00BA55DA">
      <w:pPr>
        <w:spacing w:before="360" w:after="0"/>
        <w:rPr>
          <w:lang w:val="en-US"/>
        </w:rPr>
      </w:pPr>
      <w:r w:rsidRPr="00112DB6">
        <w:rPr>
          <w:lang w:val="en-US"/>
        </w:rPr>
        <w:lastRenderedPageBreak/>
        <w:t xml:space="preserve">Survival curves </w:t>
      </w:r>
      <w:proofErr w:type="gramStart"/>
      <w:r w:rsidRPr="00112DB6">
        <w:rPr>
          <w:lang w:val="en-US"/>
        </w:rPr>
        <w:t>are shown</w:t>
      </w:r>
      <w:proofErr w:type="gramEnd"/>
      <w:r w:rsidRPr="00112DB6">
        <w:rPr>
          <w:lang w:val="en-US"/>
        </w:rPr>
        <w:t xml:space="preserve"> for children </w:t>
      </w:r>
      <w:bookmarkStart w:id="13" w:name="_Hlk74668534"/>
      <w:r w:rsidRPr="00112DB6">
        <w:rPr>
          <w:lang w:val="en-US"/>
        </w:rPr>
        <w:t>with more common selected CAs from different organ systems in the ‘Isolated’ and ‘All’ groups</w:t>
      </w:r>
      <w:r w:rsidRPr="00112DB6">
        <w:rPr>
          <w:rFonts w:cs="Times New Roman"/>
          <w:szCs w:val="24"/>
          <w:lang w:val="en-US"/>
        </w:rPr>
        <w:t xml:space="preserve">, </w:t>
      </w:r>
      <w:r w:rsidRPr="00112DB6">
        <w:rPr>
          <w:lang w:val="en-US"/>
        </w:rPr>
        <w:t>clearly demonstrating the higher survival for children in the ‘Isolated’ group (Fig 1).</w:t>
      </w:r>
      <w:bookmarkEnd w:id="13"/>
    </w:p>
    <w:p w14:paraId="72B7B27F" w14:textId="77777777" w:rsidR="0064507B" w:rsidRPr="00112DB6" w:rsidRDefault="0064507B" w:rsidP="00BA55DA">
      <w:pPr>
        <w:pStyle w:val="Heading1"/>
        <w:rPr>
          <w:rFonts w:cs="Times New Roman"/>
          <w:sz w:val="28"/>
          <w:szCs w:val="28"/>
          <w:lang w:val="en-US"/>
        </w:rPr>
      </w:pPr>
      <w:r w:rsidRPr="00112DB6">
        <w:rPr>
          <w:rFonts w:cs="Times New Roman"/>
          <w:bCs/>
          <w:sz w:val="28"/>
          <w:szCs w:val="28"/>
          <w:lang w:val="en-US"/>
        </w:rPr>
        <w:lastRenderedPageBreak/>
        <w:t>DISCUSSION</w:t>
      </w:r>
    </w:p>
    <w:p w14:paraId="0C47B138" w14:textId="77777777" w:rsidR="0064507B" w:rsidRPr="00112DB6" w:rsidRDefault="0064507B" w:rsidP="00BA55DA">
      <w:pPr>
        <w:spacing w:before="0" w:after="0"/>
        <w:jc w:val="both"/>
        <w:rPr>
          <w:lang w:val="en-US"/>
        </w:rPr>
      </w:pPr>
      <w:r w:rsidRPr="00112DB6">
        <w:rPr>
          <w:lang w:val="en-US"/>
        </w:rPr>
        <w:t xml:space="preserve">This linked cohort study using population-based data </w:t>
      </w:r>
      <w:r w:rsidRPr="00112DB6">
        <w:rPr>
          <w:rFonts w:cs="Times New Roman"/>
          <w:szCs w:val="24"/>
          <w:lang w:val="en-US"/>
        </w:rPr>
        <w:t xml:space="preserve">on live births during 2005-2014 </w:t>
      </w:r>
      <w:r w:rsidRPr="00112DB6">
        <w:rPr>
          <w:lang w:val="en-US"/>
        </w:rPr>
        <w:t xml:space="preserve">(n=96,263 from a </w:t>
      </w:r>
      <w:r w:rsidRPr="00112DB6">
        <w:rPr>
          <w:szCs w:val="24"/>
          <w:lang w:val="en-US"/>
        </w:rPr>
        <w:t xml:space="preserve">birth population of </w:t>
      </w:r>
      <w:r w:rsidRPr="00112DB6">
        <w:rPr>
          <w:rFonts w:cs="Times New Roman"/>
          <w:color w:val="000000"/>
          <w:szCs w:val="24"/>
          <w:lang w:val="en-US"/>
        </w:rPr>
        <w:t>4,218,786</w:t>
      </w:r>
      <w:r w:rsidRPr="00112DB6">
        <w:rPr>
          <w:lang w:val="en-US"/>
        </w:rPr>
        <w:t xml:space="preserve">) from 13 CA registries </w:t>
      </w:r>
      <w:r w:rsidRPr="00112DB6">
        <w:rPr>
          <w:rFonts w:cs="Times New Roman"/>
          <w:szCs w:val="24"/>
          <w:lang w:val="en-US"/>
        </w:rPr>
        <w:t xml:space="preserve">from Western Europe provided survival estimates for children up to age 10 years. The pooled 10-year survival was over 90% for the majority of isolated CA subgroups (27/32), </w:t>
      </w:r>
      <w:r w:rsidRPr="00112DB6">
        <w:rPr>
          <w:lang w:val="en-US"/>
        </w:rPr>
        <w:t>with considerable variation in survival between specific CAs of different severity</w:t>
      </w:r>
      <w:r w:rsidRPr="00112DB6">
        <w:rPr>
          <w:rFonts w:cs="Times New Roman"/>
          <w:szCs w:val="24"/>
          <w:lang w:val="en-US"/>
        </w:rPr>
        <w:t xml:space="preserve">. Presence of associated anomalies considerably reduced survival in children with specific CAs. For children with Down syndrome, </w:t>
      </w:r>
      <w:r w:rsidRPr="00112DB6">
        <w:rPr>
          <w:lang w:val="en-US"/>
        </w:rPr>
        <w:t>the 10-year survival was significantly higher for children without associated CHD or digestive system anomalies</w:t>
      </w:r>
      <w:r w:rsidRPr="00112DB6">
        <w:rPr>
          <w:szCs w:val="24"/>
          <w:lang w:val="en-US"/>
        </w:rPr>
        <w:t xml:space="preserve"> </w:t>
      </w:r>
      <w:r w:rsidRPr="00112DB6">
        <w:rPr>
          <w:lang w:val="en-US"/>
        </w:rPr>
        <w:t xml:space="preserve">compared to children with these anomalies. </w:t>
      </w:r>
    </w:p>
    <w:p w14:paraId="35666738" w14:textId="28527E83" w:rsidR="0064507B" w:rsidRPr="00112DB6" w:rsidRDefault="0064507B" w:rsidP="00BA55DA">
      <w:pPr>
        <w:spacing w:before="360" w:after="0"/>
        <w:rPr>
          <w:rFonts w:cs="Times New Roman"/>
          <w:szCs w:val="24"/>
          <w:lang w:val="en-US"/>
        </w:rPr>
      </w:pPr>
      <w:proofErr w:type="gramStart"/>
      <w:r w:rsidRPr="00112DB6">
        <w:rPr>
          <w:rFonts w:cs="Times New Roman"/>
          <w:szCs w:val="24"/>
          <w:lang w:val="en-US"/>
        </w:rPr>
        <w:t xml:space="preserve">Survival of children born with specific isolated CAs was higher in our study for </w:t>
      </w:r>
      <w:proofErr w:type="spellStart"/>
      <w:r w:rsidRPr="00112DB6">
        <w:rPr>
          <w:rFonts w:cs="Times New Roman"/>
          <w:szCs w:val="24"/>
          <w:lang w:val="en-US"/>
        </w:rPr>
        <w:t>spina</w:t>
      </w:r>
      <w:proofErr w:type="spellEnd"/>
      <w:r w:rsidRPr="00112DB6">
        <w:rPr>
          <w:rFonts w:cs="Times New Roman"/>
          <w:szCs w:val="24"/>
          <w:lang w:val="en-US"/>
        </w:rPr>
        <w:t xml:space="preserve"> bifida, CHDs, orofacial clefts, esophageal atresia, anorectal atresia/stenosis, diaphragmatic hernia, abdominal wall defects and limb reduction defects compared to published population-based studies</w:t>
      </w:r>
      <w:r w:rsidRPr="00112DB6">
        <w:rPr>
          <w:szCs w:val="24"/>
          <w:lang w:val="en-US"/>
        </w:rPr>
        <w:t xml:space="preserve"> from Europe, USA and Australia</w:t>
      </w:r>
      <w:r w:rsidRPr="00112DB6">
        <w:rPr>
          <w:noProof/>
          <w:szCs w:val="24"/>
          <w:vertAlign w:val="superscript"/>
          <w:lang w:val="en-US"/>
        </w:rPr>
        <w:t>27-33</w:t>
      </w:r>
      <w:r w:rsidRPr="00112DB6">
        <w:rPr>
          <w:rFonts w:cs="Times New Roman"/>
          <w:szCs w:val="24"/>
          <w:lang w:val="en-US"/>
        </w:rPr>
        <w:t xml:space="preserve"> and two systematic reviews.</w:t>
      </w:r>
      <w:r w:rsidRPr="00112DB6">
        <w:rPr>
          <w:rFonts w:cs="Times New Roman"/>
          <w:szCs w:val="24"/>
          <w:vertAlign w:val="superscript"/>
          <w:lang w:val="en-US"/>
        </w:rPr>
        <w:t>14,34</w:t>
      </w:r>
      <w:r w:rsidRPr="00112DB6">
        <w:rPr>
          <w:rFonts w:cs="Times New Roman"/>
          <w:szCs w:val="24"/>
          <w:lang w:val="en-US"/>
        </w:rPr>
        <w:t xml:space="preserve"> </w:t>
      </w:r>
      <w:r w:rsidRPr="00112DB6">
        <w:rPr>
          <w:color w:val="000000"/>
          <w:bdr w:val="none" w:sz="0" w:space="0" w:color="auto" w:frame="1"/>
          <w:shd w:val="clear" w:color="auto" w:fill="FFFFFF"/>
          <w:lang w:val="en-US"/>
        </w:rPr>
        <w:t>The higher survival is expected, as first, the published studies cover earlier birth cohorts and survival has improved over time partly due to improvements in prenatal diagnosis</w:t>
      </w:r>
      <w:r w:rsidR="00112DB6">
        <w:rPr>
          <w:color w:val="000000"/>
          <w:bdr w:val="none" w:sz="0" w:space="0" w:color="auto" w:frame="1"/>
          <w:shd w:val="clear" w:color="auto" w:fill="FFFFFF"/>
          <w:lang w:val="en-US"/>
        </w:rPr>
        <w:t xml:space="preserve"> and consequent increases in terminations of pregnancy for more severe CAs</w:t>
      </w:r>
      <w:r w:rsidRPr="00112DB6">
        <w:rPr>
          <w:color w:val="000000"/>
          <w:bdr w:val="none" w:sz="0" w:space="0" w:color="auto" w:frame="1"/>
          <w:shd w:val="clear" w:color="auto" w:fill="FFFFFF"/>
          <w:lang w:val="en-US"/>
        </w:rPr>
        <w:t xml:space="preserve"> </w:t>
      </w:r>
      <w:r w:rsidRPr="00112DB6">
        <w:rPr>
          <w:rFonts w:cs="Times New Roman"/>
          <w:szCs w:val="24"/>
          <w:lang w:val="en-US"/>
        </w:rPr>
        <w:t>(</w:t>
      </w:r>
      <w:hyperlink r:id="rId10" w:history="1">
        <w:r w:rsidRPr="00112DB6">
          <w:rPr>
            <w:rStyle w:val="Hyperlink"/>
            <w:rFonts w:cs="Times New Roman"/>
            <w:szCs w:val="24"/>
            <w:lang w:val="en-US"/>
          </w:rPr>
          <w:t>https://eu-rd-platform.jrc.ec.europa.eu/eurocat/eurocat-data/prevalence_en -</w:t>
        </w:r>
      </w:hyperlink>
      <w:r w:rsidRPr="00112DB6">
        <w:rPr>
          <w:rStyle w:val="Hyperlink"/>
          <w:rFonts w:cs="Times New Roman"/>
          <w:szCs w:val="24"/>
          <w:lang w:val="en-US"/>
        </w:rPr>
        <w:t xml:space="preserve"> </w:t>
      </w:r>
      <w:r w:rsidRPr="00112DB6">
        <w:rPr>
          <w:color w:val="000000"/>
          <w:bdr w:val="none" w:sz="0" w:space="0" w:color="auto" w:frame="1"/>
          <w:shd w:val="clear" w:color="auto" w:fill="FFFFFF"/>
        </w:rPr>
        <w:t xml:space="preserve">45.1 and </w:t>
      </w:r>
      <w:r w:rsidRPr="00112DB6">
        <w:rPr>
          <w:color w:val="000000"/>
          <w:shd w:val="clear" w:color="auto" w:fill="FFFFFF"/>
        </w:rPr>
        <w:t>52.1 per 10,000 births in 1995-2004 and 2005-2014, respectively</w:t>
      </w:r>
      <w:r w:rsidRPr="00112DB6">
        <w:rPr>
          <w:rFonts w:cs="Times New Roman"/>
          <w:szCs w:val="24"/>
          <w:lang w:val="en-US"/>
        </w:rPr>
        <w:t xml:space="preserve">), </w:t>
      </w:r>
      <w:r w:rsidR="00112DB6">
        <w:rPr>
          <w:rFonts w:cs="Times New Roman"/>
          <w:szCs w:val="24"/>
          <w:lang w:val="en-US"/>
        </w:rPr>
        <w:t>and second, some studies were not restricted to isolated anomalies.</w:t>
      </w:r>
      <w:proofErr w:type="gramEnd"/>
      <w:r w:rsidR="00112DB6">
        <w:rPr>
          <w:rFonts w:cs="Times New Roman"/>
          <w:szCs w:val="24"/>
          <w:lang w:val="en-US"/>
        </w:rPr>
        <w:t xml:space="preserve"> T</w:t>
      </w:r>
      <w:r w:rsidRPr="00112DB6">
        <w:rPr>
          <w:color w:val="000000"/>
          <w:bdr w:val="none" w:sz="0" w:space="0" w:color="auto" w:frame="1"/>
          <w:shd w:val="clear" w:color="auto" w:fill="FFFFFF"/>
          <w:lang w:val="en-US"/>
        </w:rPr>
        <w:t>rue differences in survival between different countries are also likely.</w:t>
      </w:r>
      <w:r w:rsidRPr="00112DB6">
        <w:rPr>
          <w:rFonts w:cs="Times New Roman"/>
          <w:szCs w:val="24"/>
          <w:lang w:val="en-US"/>
        </w:rPr>
        <w:t xml:space="preserve"> </w:t>
      </w:r>
      <w:proofErr w:type="gramStart"/>
      <w:r w:rsidRPr="00112DB6">
        <w:rPr>
          <w:rFonts w:cs="Times New Roman"/>
          <w:szCs w:val="24"/>
          <w:lang w:val="en-US"/>
        </w:rPr>
        <w:t>A recent smaller Australian study analyzing 1- and 5-year survival for births in 2004-2009 reported comparable survival estimates for all isolated CAs and for some specific subgroups such as severe CHD and diaphragmatic hernia.</w:t>
      </w:r>
      <w:r w:rsidRPr="00112DB6">
        <w:rPr>
          <w:rFonts w:cs="Times New Roman"/>
          <w:szCs w:val="24"/>
          <w:vertAlign w:val="superscript"/>
          <w:lang w:val="en-US"/>
        </w:rPr>
        <w:t>30</w:t>
      </w:r>
      <w:r w:rsidRPr="00112DB6">
        <w:rPr>
          <w:rFonts w:cs="Times New Roman"/>
          <w:szCs w:val="24"/>
          <w:lang w:val="en-US"/>
        </w:rPr>
        <w:t xml:space="preserve"> Despite relatively high survival estimates at 4 weeks, 1 year and 5 years for children born with isolated CAs reported in our </w:t>
      </w:r>
      <w:r w:rsidRPr="00112DB6">
        <w:rPr>
          <w:rFonts w:cs="Times New Roman"/>
          <w:szCs w:val="24"/>
          <w:lang w:val="en-US"/>
        </w:rPr>
        <w:lastRenderedPageBreak/>
        <w:t>paper, overall, they are still much lower compared to the average survival in the general European population of children at corresponding ages.</w:t>
      </w:r>
      <w:r w:rsidRPr="00112DB6">
        <w:rPr>
          <w:rFonts w:cs="Times New Roman"/>
          <w:szCs w:val="24"/>
          <w:vertAlign w:val="superscript"/>
          <w:lang w:val="en-US"/>
        </w:rPr>
        <w:t>35-37</w:t>
      </w:r>
      <w:proofErr w:type="gramEnd"/>
    </w:p>
    <w:p w14:paraId="349299D3" w14:textId="77777777" w:rsidR="0064507B" w:rsidRPr="00112DB6" w:rsidRDefault="0064507B" w:rsidP="00BA55DA">
      <w:pPr>
        <w:spacing w:before="360" w:after="0"/>
        <w:rPr>
          <w:rFonts w:cs="Times New Roman"/>
          <w:szCs w:val="24"/>
          <w:lang w:val="en-US"/>
        </w:rPr>
      </w:pPr>
      <w:proofErr w:type="gramStart"/>
      <w:r w:rsidRPr="00112DB6">
        <w:rPr>
          <w:rFonts w:cs="Times New Roman"/>
          <w:szCs w:val="24"/>
          <w:lang w:val="en-US"/>
        </w:rPr>
        <w:t>Five- and 10-year survival of children with Down syndrome was also higher in our study compared to earlier studies</w:t>
      </w:r>
      <w:r w:rsidRPr="00112DB6">
        <w:rPr>
          <w:rFonts w:cs="Times New Roman"/>
          <w:szCs w:val="24"/>
          <w:vertAlign w:val="superscript"/>
          <w:lang w:val="en-US"/>
        </w:rPr>
        <w:t>28,38-40</w:t>
      </w:r>
      <w:r w:rsidRPr="00112DB6">
        <w:rPr>
          <w:rFonts w:cs="Times New Roman"/>
          <w:szCs w:val="24"/>
          <w:lang w:val="en-US"/>
        </w:rPr>
        <w:t xml:space="preserve"> and comparable to more recent ones.</w:t>
      </w:r>
      <w:r w:rsidRPr="00112DB6">
        <w:rPr>
          <w:rFonts w:cs="Times New Roman"/>
          <w:szCs w:val="24"/>
          <w:vertAlign w:val="superscript"/>
          <w:lang w:val="en-US"/>
        </w:rPr>
        <w:t>30,41,42</w:t>
      </w:r>
      <w:r w:rsidRPr="00112DB6">
        <w:rPr>
          <w:rFonts w:cs="Times New Roman"/>
          <w:szCs w:val="24"/>
          <w:lang w:val="en-US"/>
        </w:rPr>
        <w:t xml:space="preserve"> Presence of associated CHD in children with Down syndrome is an acknowledged risk factor for reduced long-term survival,</w:t>
      </w:r>
      <w:r w:rsidRPr="00112DB6">
        <w:rPr>
          <w:rFonts w:cs="Times New Roman"/>
          <w:szCs w:val="24"/>
          <w:vertAlign w:val="superscript"/>
          <w:lang w:val="en-US"/>
        </w:rPr>
        <w:t>14,39-43</w:t>
      </w:r>
      <w:r w:rsidRPr="00112DB6">
        <w:rPr>
          <w:rFonts w:cs="Times New Roman"/>
          <w:szCs w:val="24"/>
          <w:lang w:val="en-US"/>
        </w:rPr>
        <w:t xml:space="preserve"> although a significant improvement in survival of these children over time was recently reported.</w:t>
      </w:r>
      <w:r w:rsidRPr="00112DB6">
        <w:rPr>
          <w:rFonts w:cs="Times New Roman"/>
          <w:szCs w:val="24"/>
          <w:vertAlign w:val="superscript"/>
          <w:lang w:val="en-US"/>
        </w:rPr>
        <w:t>14</w:t>
      </w:r>
      <w:r w:rsidRPr="00112DB6">
        <w:rPr>
          <w:rFonts w:cs="Times New Roman"/>
          <w:szCs w:val="24"/>
          <w:lang w:val="en-US"/>
        </w:rPr>
        <w:t xml:space="preserve"> This European study also reports a significantly reduced survival of children with Down syndrome associated with CHD and/or </w:t>
      </w:r>
      <w:r w:rsidRPr="00112DB6">
        <w:rPr>
          <w:lang w:val="en-US"/>
        </w:rPr>
        <w:t>digestive system anomalies</w:t>
      </w:r>
      <w:r w:rsidRPr="00112DB6">
        <w:rPr>
          <w:rFonts w:cs="Times New Roman"/>
          <w:szCs w:val="24"/>
          <w:lang w:val="en-US"/>
        </w:rPr>
        <w:t xml:space="preserve"> compared to those without.</w:t>
      </w:r>
      <w:proofErr w:type="gramEnd"/>
    </w:p>
    <w:p w14:paraId="7723FC41" w14:textId="77777777" w:rsidR="0064507B" w:rsidRPr="00112DB6" w:rsidRDefault="0064507B" w:rsidP="00BA55DA">
      <w:pPr>
        <w:pStyle w:val="Heading2"/>
        <w:spacing w:before="360" w:after="120"/>
        <w:rPr>
          <w:rFonts w:cs="Times New Roman"/>
          <w:szCs w:val="24"/>
          <w:lang w:val="en-US"/>
        </w:rPr>
      </w:pPr>
      <w:bookmarkStart w:id="14" w:name="_Hlk71879531"/>
      <w:r w:rsidRPr="00112DB6">
        <w:rPr>
          <w:rFonts w:cs="Times New Roman"/>
          <w:szCs w:val="24"/>
          <w:lang w:val="en-US"/>
        </w:rPr>
        <w:t xml:space="preserve">Strengths </w:t>
      </w:r>
    </w:p>
    <w:p w14:paraId="3A914A31" w14:textId="77777777" w:rsidR="0064507B" w:rsidRPr="00112DB6" w:rsidRDefault="0064507B" w:rsidP="00BA55DA">
      <w:pPr>
        <w:spacing w:before="0" w:after="0"/>
        <w:rPr>
          <w:rFonts w:cs="Times New Roman"/>
          <w:szCs w:val="24"/>
          <w:lang w:val="en-US"/>
        </w:rPr>
      </w:pPr>
      <w:r w:rsidRPr="00112DB6">
        <w:rPr>
          <w:rFonts w:cs="Times New Roman"/>
          <w:szCs w:val="24"/>
          <w:lang w:val="en-US"/>
        </w:rPr>
        <w:t xml:space="preserve">This study has several strengths. We used high-quality data from specialist population-based registries of CAs that were linked to </w:t>
      </w:r>
      <w:bookmarkEnd w:id="14"/>
      <w:r w:rsidRPr="00112DB6">
        <w:rPr>
          <w:lang w:val="en-US"/>
        </w:rPr>
        <w:t>official mortality data sources, including data from national/vital statistics for 11 of 13 registries</w:t>
      </w:r>
      <w:r w:rsidRPr="00112DB6">
        <w:rPr>
          <w:rFonts w:cs="Times New Roman"/>
          <w:szCs w:val="24"/>
          <w:lang w:val="en-US"/>
        </w:rPr>
        <w:t xml:space="preserve">. </w:t>
      </w:r>
      <w:proofErr w:type="gramStart"/>
      <w:r w:rsidRPr="00112DB6">
        <w:rPr>
          <w:rFonts w:cs="Times New Roman"/>
          <w:szCs w:val="24"/>
          <w:lang w:val="en-US"/>
        </w:rPr>
        <w:t xml:space="preserve">Standardized approaches to data collection, coding and classification in EUROCAT registries were enhanced by </w:t>
      </w:r>
      <w:r w:rsidRPr="00112DB6">
        <w:rPr>
          <w:lang w:val="en-US"/>
        </w:rPr>
        <w:t>standardization of linked mortality data, creation of standardized syntax scripts and generation of combined datasets and analytic results</w:t>
      </w:r>
      <w:proofErr w:type="gramEnd"/>
      <w:r w:rsidRPr="00112DB6">
        <w:rPr>
          <w:lang w:val="en-US"/>
        </w:rPr>
        <w:t xml:space="preserve">. </w:t>
      </w:r>
      <w:r w:rsidRPr="00112DB6">
        <w:rPr>
          <w:rFonts w:cs="Times New Roman"/>
          <w:szCs w:val="24"/>
          <w:lang w:val="en-US"/>
        </w:rPr>
        <w:t xml:space="preserve">This enabled the establishment of a </w:t>
      </w:r>
      <w:r w:rsidRPr="00112DB6">
        <w:rPr>
          <w:szCs w:val="24"/>
          <w:lang w:val="en-US"/>
        </w:rPr>
        <w:t xml:space="preserve">large cohort of children with CAs from </w:t>
      </w:r>
      <w:r w:rsidRPr="00112DB6">
        <w:rPr>
          <w:rFonts w:cs="Times New Roman"/>
          <w:szCs w:val="24"/>
          <w:lang w:val="en-US"/>
        </w:rPr>
        <w:t xml:space="preserve">13 regions of nine Western European countries, </w:t>
      </w:r>
      <w:r w:rsidRPr="00112DB6">
        <w:rPr>
          <w:lang w:val="en-US"/>
        </w:rPr>
        <w:t xml:space="preserve">increasing statistical power for the analysis of specific CAs and thereby the reliability of our findings. We developed a novel meta-analytic </w:t>
      </w:r>
      <w:r w:rsidRPr="00112DB6">
        <w:rPr>
          <w:szCs w:val="24"/>
          <w:lang w:val="en-US"/>
        </w:rPr>
        <w:t xml:space="preserve">approach </w:t>
      </w:r>
      <w:r w:rsidRPr="00112DB6">
        <w:rPr>
          <w:rFonts w:cs="Times New Roman"/>
          <w:szCs w:val="24"/>
          <w:lang w:val="en-US"/>
        </w:rPr>
        <w:t xml:space="preserve">of analyzing survival data from several small samples to reduce bias arising from the use of more standard </w:t>
      </w:r>
      <w:proofErr w:type="gramStart"/>
      <w:r w:rsidRPr="00112DB6">
        <w:rPr>
          <w:rFonts w:cs="Times New Roman"/>
          <w:szCs w:val="24"/>
          <w:lang w:val="en-US"/>
        </w:rPr>
        <w:t>techniques which</w:t>
      </w:r>
      <w:proofErr w:type="gramEnd"/>
      <w:r w:rsidRPr="00112DB6">
        <w:rPr>
          <w:rFonts w:cs="Times New Roman"/>
          <w:szCs w:val="24"/>
          <w:lang w:val="en-US"/>
        </w:rPr>
        <w:t xml:space="preserve"> rely on the asymptotic properties of estimates from larger samples. </w:t>
      </w:r>
    </w:p>
    <w:p w14:paraId="72D807F3" w14:textId="77777777" w:rsidR="0064507B" w:rsidRPr="00112DB6" w:rsidRDefault="0064507B" w:rsidP="001948D8">
      <w:pPr>
        <w:pStyle w:val="Heading2"/>
        <w:spacing w:before="360" w:after="120"/>
        <w:rPr>
          <w:rFonts w:cs="Times New Roman"/>
          <w:szCs w:val="24"/>
          <w:lang w:val="en-US"/>
        </w:rPr>
      </w:pPr>
      <w:r w:rsidRPr="00112DB6">
        <w:rPr>
          <w:rFonts w:cs="Times New Roman"/>
          <w:szCs w:val="24"/>
          <w:lang w:val="en-US"/>
        </w:rPr>
        <w:lastRenderedPageBreak/>
        <w:t xml:space="preserve">Limitations </w:t>
      </w:r>
    </w:p>
    <w:p w14:paraId="64B5E06C" w14:textId="77777777" w:rsidR="0064507B" w:rsidRPr="00112DB6" w:rsidRDefault="0064507B" w:rsidP="001948D8">
      <w:pPr>
        <w:spacing w:after="0"/>
        <w:rPr>
          <w:rFonts w:cs="Times New Roman"/>
          <w:color w:val="000000"/>
          <w:bdr w:val="none" w:sz="0" w:space="0" w:color="auto" w:frame="1"/>
          <w:shd w:val="clear" w:color="auto" w:fill="FFFFFF"/>
          <w:lang w:val="en-US"/>
        </w:rPr>
      </w:pPr>
      <w:r w:rsidRPr="00112DB6">
        <w:rPr>
          <w:bdr w:val="none" w:sz="0" w:space="0" w:color="auto" w:frame="1"/>
          <w:lang w:val="en-US"/>
        </w:rPr>
        <w:t xml:space="preserve">We were not able to include as many registries as originally planned due to barriers to gaining ethical approval, low linkage quality or lack of survival data beyond one year. </w:t>
      </w:r>
      <w:r w:rsidRPr="00112DB6">
        <w:rPr>
          <w:bdr w:val="none" w:sz="0" w:space="0" w:color="auto" w:frame="1"/>
          <w:shd w:val="clear" w:color="auto" w:fill="FFFFFF"/>
          <w:lang w:val="en-US"/>
        </w:rPr>
        <w:t xml:space="preserve">Despite relatively high linkage success, lack of 100% linkage in all registries may have resulted in an overestimate of the survival due to missed deaths. </w:t>
      </w:r>
      <w:proofErr w:type="gramStart"/>
      <w:r w:rsidRPr="00112DB6">
        <w:rPr>
          <w:lang w:val="en-US"/>
        </w:rPr>
        <w:t xml:space="preserve">An overestimate of the pooled survival for children with severe microcephaly revealed by the sensitivity analysis after exclusion of the Wales registry may be </w:t>
      </w:r>
      <w:r w:rsidRPr="00112DB6">
        <w:rPr>
          <w:color w:val="000000"/>
          <w:bdr w:val="none" w:sz="0" w:space="0" w:color="auto" w:frame="1"/>
          <w:shd w:val="clear" w:color="auto" w:fill="FFFFFF"/>
          <w:lang w:val="en-US"/>
        </w:rPr>
        <w:t xml:space="preserve">due to a less stringent definition of </w:t>
      </w:r>
      <w:r w:rsidRPr="00112DB6">
        <w:rPr>
          <w:rFonts w:cs="Times New Roman"/>
          <w:color w:val="000000"/>
          <w:bdr w:val="none" w:sz="0" w:space="0" w:color="auto" w:frame="1"/>
          <w:shd w:val="clear" w:color="auto" w:fill="FFFFFF"/>
          <w:lang w:val="en-US"/>
        </w:rPr>
        <w:t>severe microcephaly in Wale</w:t>
      </w:r>
      <w:r w:rsidRPr="00112DB6">
        <w:rPr>
          <w:rFonts w:cs="Times New Roman"/>
          <w:lang w:val="en-US"/>
        </w:rPr>
        <w:t>s</w:t>
      </w:r>
      <w:r w:rsidRPr="00112DB6">
        <w:rPr>
          <w:rStyle w:val="msoins0"/>
          <w:rFonts w:cs="Times New Roman"/>
          <w:color w:val="008080"/>
          <w:bdr w:val="none" w:sz="0" w:space="0" w:color="auto" w:frame="1"/>
          <w:lang w:val="en-US"/>
        </w:rPr>
        <w:t xml:space="preserve"> </w:t>
      </w:r>
      <w:r w:rsidRPr="00112DB6">
        <w:rPr>
          <w:rStyle w:val="msoins0"/>
          <w:rFonts w:cs="Times New Roman"/>
          <w:color w:val="000000" w:themeColor="text1"/>
          <w:bdr w:val="none" w:sz="0" w:space="0" w:color="auto" w:frame="1"/>
          <w:lang w:val="en-US"/>
        </w:rPr>
        <w:t>(&lt;5</w:t>
      </w:r>
      <w:r w:rsidRPr="00112DB6">
        <w:rPr>
          <w:rStyle w:val="msoins0"/>
          <w:rFonts w:cs="Times New Roman"/>
          <w:color w:val="000000" w:themeColor="text1"/>
          <w:bdr w:val="none" w:sz="0" w:space="0" w:color="auto" w:frame="1"/>
          <w:vertAlign w:val="superscript"/>
          <w:lang w:val="en-US"/>
        </w:rPr>
        <w:t>th</w:t>
      </w:r>
      <w:r w:rsidRPr="00112DB6">
        <w:rPr>
          <w:rStyle w:val="msoins0"/>
          <w:rFonts w:cs="Times New Roman"/>
          <w:color w:val="000000" w:themeColor="text1"/>
          <w:bdr w:val="none" w:sz="0" w:space="0" w:color="auto" w:frame="1"/>
          <w:lang w:val="en-US"/>
        </w:rPr>
        <w:t xml:space="preserve"> percentile instead of EUROCAT definition of </w:t>
      </w:r>
      <w:r w:rsidRPr="00112DB6">
        <w:rPr>
          <w:rFonts w:cs="Times New Roman"/>
          <w:color w:val="000000" w:themeColor="text1"/>
          <w:lang w:val="en-US"/>
        </w:rPr>
        <w:t>&lt;</w:t>
      </w:r>
      <w:r w:rsidRPr="00112DB6">
        <w:rPr>
          <w:rFonts w:ascii="Arial" w:hAnsi="Arial" w:cs="Arial"/>
          <w:color w:val="202124"/>
          <w:shd w:val="clear" w:color="auto" w:fill="FFFFFF"/>
          <w:lang w:val="en-US"/>
        </w:rPr>
        <w:t>−</w:t>
      </w:r>
      <w:r w:rsidRPr="00112DB6">
        <w:rPr>
          <w:rStyle w:val="msoins0"/>
          <w:rFonts w:cs="Times New Roman"/>
          <w:color w:val="000000" w:themeColor="text1"/>
          <w:bdr w:val="none" w:sz="0" w:space="0" w:color="auto" w:frame="1"/>
          <w:lang w:val="en-US"/>
        </w:rPr>
        <w:t>3SD)</w:t>
      </w:r>
      <w:r w:rsidRPr="00112DB6">
        <w:rPr>
          <w:rFonts w:cs="Times New Roman"/>
          <w:color w:val="000000" w:themeColor="text1"/>
          <w:lang w:val="en-US"/>
        </w:rPr>
        <w:t>.</w:t>
      </w:r>
      <w:r w:rsidRPr="00112DB6">
        <w:rPr>
          <w:rFonts w:cs="Times New Roman"/>
          <w:noProof/>
          <w:color w:val="000000"/>
          <w:bdr w:val="none" w:sz="0" w:space="0" w:color="auto" w:frame="1"/>
          <w:shd w:val="clear" w:color="auto" w:fill="FFFFFF"/>
          <w:vertAlign w:val="superscript"/>
          <w:lang w:val="en-US"/>
        </w:rPr>
        <w:t>44,45</w:t>
      </w:r>
      <w:r w:rsidRPr="00112DB6">
        <w:rPr>
          <w:rFonts w:cs="Times New Roman"/>
          <w:color w:val="000000"/>
          <w:bdr w:val="none" w:sz="0" w:space="0" w:color="auto" w:frame="1"/>
          <w:shd w:val="clear" w:color="auto" w:fill="FFFFFF"/>
          <w:lang w:val="en-US"/>
        </w:rPr>
        <w:t xml:space="preserve"> Higher survival of children with HLH in Finland may be due to higher prenatal detection rates resulting in improved survival after the full implementation of the national ultrasound screening </w:t>
      </w:r>
      <w:proofErr w:type="spellStart"/>
      <w:r w:rsidRPr="00112DB6">
        <w:rPr>
          <w:rFonts w:cs="Times New Roman"/>
          <w:color w:val="000000"/>
          <w:bdr w:val="none" w:sz="0" w:space="0" w:color="auto" w:frame="1"/>
          <w:shd w:val="clear" w:color="auto" w:fill="FFFFFF"/>
          <w:lang w:val="en-US"/>
        </w:rPr>
        <w:t>programme</w:t>
      </w:r>
      <w:proofErr w:type="spellEnd"/>
      <w:r w:rsidRPr="00112DB6">
        <w:rPr>
          <w:rFonts w:cs="Times New Roman"/>
          <w:color w:val="000000"/>
          <w:bdr w:val="none" w:sz="0" w:space="0" w:color="auto" w:frame="1"/>
          <w:shd w:val="clear" w:color="auto" w:fill="FFFFFF"/>
          <w:lang w:val="en-US"/>
        </w:rPr>
        <w:t xml:space="preserve"> from 2010.</w:t>
      </w:r>
      <w:r w:rsidRPr="00112DB6">
        <w:rPr>
          <w:rFonts w:cs="Times New Roman"/>
          <w:color w:val="000000"/>
          <w:bdr w:val="none" w:sz="0" w:space="0" w:color="auto" w:frame="1"/>
          <w:shd w:val="clear" w:color="auto" w:fill="FFFFFF"/>
          <w:vertAlign w:val="superscript"/>
          <w:lang w:val="en-US"/>
        </w:rPr>
        <w:t>46,47</w:t>
      </w:r>
      <w:proofErr w:type="gramEnd"/>
    </w:p>
    <w:p w14:paraId="306F85D9" w14:textId="77777777" w:rsidR="0064507B" w:rsidRPr="00112DB6" w:rsidRDefault="0064507B" w:rsidP="00BA55DA">
      <w:pPr>
        <w:spacing w:before="360" w:after="0"/>
        <w:rPr>
          <w:rFonts w:cs="Times New Roman"/>
          <w:szCs w:val="24"/>
          <w:lang w:val="en-US"/>
        </w:rPr>
      </w:pPr>
      <w:r w:rsidRPr="00112DB6">
        <w:rPr>
          <w:rFonts w:cs="Times New Roman"/>
          <w:szCs w:val="24"/>
          <w:lang w:val="en-US"/>
        </w:rPr>
        <w:t xml:space="preserve">The classification of CA into isolated and multiple CA was computer-based only, without manual expert review of the potential multiple CA cases, which could have resulted in some isolated CAs </w:t>
      </w:r>
      <w:proofErr w:type="gramStart"/>
      <w:r w:rsidRPr="00112DB6">
        <w:rPr>
          <w:rFonts w:cs="Times New Roman"/>
          <w:szCs w:val="24"/>
          <w:lang w:val="en-US"/>
        </w:rPr>
        <w:t>being misclassified</w:t>
      </w:r>
      <w:proofErr w:type="gramEnd"/>
      <w:r w:rsidRPr="00112DB6">
        <w:rPr>
          <w:rFonts w:cs="Times New Roman"/>
          <w:szCs w:val="24"/>
          <w:lang w:val="en-US"/>
        </w:rPr>
        <w:t xml:space="preserve"> as multiple CAs.</w:t>
      </w:r>
      <w:r w:rsidRPr="00112DB6">
        <w:rPr>
          <w:rFonts w:cs="Times New Roman"/>
          <w:szCs w:val="24"/>
          <w:vertAlign w:val="superscript"/>
          <w:lang w:val="en-US"/>
        </w:rPr>
        <w:t>23</w:t>
      </w:r>
      <w:r w:rsidRPr="00112DB6">
        <w:rPr>
          <w:rFonts w:cs="Times New Roman"/>
          <w:szCs w:val="24"/>
          <w:lang w:val="en-US"/>
        </w:rPr>
        <w:t xml:space="preserve"> </w:t>
      </w:r>
    </w:p>
    <w:p w14:paraId="416E9DEA" w14:textId="77777777" w:rsidR="0064507B" w:rsidRPr="00112DB6" w:rsidRDefault="0064507B" w:rsidP="00BA55DA">
      <w:pPr>
        <w:spacing w:before="360" w:after="0"/>
        <w:rPr>
          <w:lang w:val="en-US"/>
        </w:rPr>
      </w:pPr>
      <w:r w:rsidRPr="00112DB6">
        <w:rPr>
          <w:lang w:val="en-US"/>
        </w:rPr>
        <w:t xml:space="preserve">No formal comparison of 10-year survival between the isolated and non-isolated CAs </w:t>
      </w:r>
      <w:proofErr w:type="gramStart"/>
      <w:r w:rsidRPr="00112DB6">
        <w:rPr>
          <w:lang w:val="en-US"/>
        </w:rPr>
        <w:t>could be performed</w:t>
      </w:r>
      <w:proofErr w:type="gramEnd"/>
      <w:r w:rsidRPr="00112DB6">
        <w:rPr>
          <w:lang w:val="en-US"/>
        </w:rPr>
        <w:t xml:space="preserve"> as the ‘Isolated’ and the ‘All’ groups were not mutually exclusive. </w:t>
      </w:r>
    </w:p>
    <w:p w14:paraId="4BACE9CE" w14:textId="77777777" w:rsidR="0064507B" w:rsidRPr="00112DB6" w:rsidRDefault="0064507B" w:rsidP="00BA55DA">
      <w:pPr>
        <w:spacing w:before="360" w:after="0"/>
        <w:rPr>
          <w:lang w:val="en-US"/>
        </w:rPr>
      </w:pPr>
      <w:r w:rsidRPr="00112DB6">
        <w:rPr>
          <w:lang w:val="en-US"/>
        </w:rPr>
        <w:t xml:space="preserve">The participating registries do not cover all births in Western European countries, but we consider our results to be representative of </w:t>
      </w:r>
      <w:proofErr w:type="gramStart"/>
      <w:r w:rsidRPr="00112DB6">
        <w:rPr>
          <w:lang w:val="en-US"/>
        </w:rPr>
        <w:t>Western-Europe</w:t>
      </w:r>
      <w:proofErr w:type="gramEnd"/>
      <w:r w:rsidRPr="00112DB6">
        <w:rPr>
          <w:lang w:val="en-US"/>
        </w:rPr>
        <w:t>.</w:t>
      </w:r>
    </w:p>
    <w:p w14:paraId="43926ED5" w14:textId="77777777" w:rsidR="0064507B" w:rsidRPr="00112DB6" w:rsidRDefault="0064507B" w:rsidP="00BA55DA">
      <w:pPr>
        <w:pStyle w:val="Heading1"/>
        <w:pageBreakBefore w:val="0"/>
        <w:rPr>
          <w:rFonts w:cs="Times New Roman"/>
          <w:bCs/>
          <w:sz w:val="28"/>
          <w:szCs w:val="28"/>
          <w:lang w:val="en-US"/>
        </w:rPr>
      </w:pPr>
      <w:r w:rsidRPr="00112DB6">
        <w:rPr>
          <w:rFonts w:cs="Times New Roman"/>
          <w:bCs/>
          <w:sz w:val="28"/>
          <w:szCs w:val="28"/>
          <w:lang w:val="en-US"/>
        </w:rPr>
        <w:t>CONCLUSIONS</w:t>
      </w:r>
    </w:p>
    <w:p w14:paraId="63B2C9E7" w14:textId="77777777" w:rsidR="0064507B" w:rsidRPr="00112DB6" w:rsidRDefault="0064507B" w:rsidP="00BA55DA">
      <w:pPr>
        <w:rPr>
          <w:lang w:val="en-US"/>
        </w:rPr>
      </w:pPr>
      <w:r w:rsidRPr="00112DB6">
        <w:rPr>
          <w:lang w:val="en-US"/>
        </w:rPr>
        <w:t xml:space="preserve">The accuracy of estimated long-term survival of children born with specific CAs </w:t>
      </w:r>
      <w:proofErr w:type="gramStart"/>
      <w:r w:rsidRPr="00112DB6">
        <w:rPr>
          <w:lang w:val="en-US"/>
        </w:rPr>
        <w:t>is ensured</w:t>
      </w:r>
      <w:proofErr w:type="gramEnd"/>
      <w:r w:rsidRPr="00112DB6">
        <w:rPr>
          <w:lang w:val="en-US"/>
        </w:rPr>
        <w:t xml:space="preserve"> by the use of common protocol </w:t>
      </w:r>
      <w:r w:rsidRPr="00112DB6">
        <w:rPr>
          <w:rFonts w:cs="Times New Roman"/>
          <w:szCs w:val="24"/>
          <w:lang w:val="en-US"/>
        </w:rPr>
        <w:t xml:space="preserve">for data collection, standardization, quality control and registry-specific statistical analyses, as well as the development of the novel meta-analytic </w:t>
      </w:r>
      <w:r w:rsidRPr="00112DB6">
        <w:rPr>
          <w:rFonts w:cs="Times New Roman"/>
          <w:szCs w:val="24"/>
          <w:lang w:val="en-US"/>
        </w:rPr>
        <w:lastRenderedPageBreak/>
        <w:t>approach.</w:t>
      </w:r>
      <w:r w:rsidRPr="00112DB6">
        <w:rPr>
          <w:lang w:val="en-US"/>
        </w:rPr>
        <w:t xml:space="preserve"> Reliable information on long-term survival of children born with specific CAs is </w:t>
      </w:r>
      <w:bookmarkStart w:id="15" w:name="_Hlk76051650"/>
      <w:r w:rsidRPr="00112DB6">
        <w:rPr>
          <w:lang w:val="en-US"/>
        </w:rPr>
        <w:t>of major importance for counseling parents facing a prenatal diagnosis of CA, families living with a child affected by a CA and for the health professionals involved in their care</w:t>
      </w:r>
      <w:bookmarkEnd w:id="15"/>
      <w:r w:rsidRPr="00112DB6">
        <w:rPr>
          <w:lang w:val="en-US"/>
        </w:rPr>
        <w:t>.</w:t>
      </w:r>
      <w:r w:rsidRPr="00112DB6">
        <w:t xml:space="preserve"> </w:t>
      </w:r>
      <w:r w:rsidRPr="00112DB6">
        <w:rPr>
          <w:rFonts w:cs="Times New Roman"/>
          <w:szCs w:val="24"/>
          <w:lang w:val="en-US"/>
        </w:rPr>
        <w:t xml:space="preserve">The timely diagnosis of associated anomalies is essential for parental counseling due to their association with reduced survival. </w:t>
      </w:r>
      <w:r w:rsidRPr="00112DB6">
        <w:rPr>
          <w:rFonts w:cs="Times New Roman"/>
          <w:color w:val="000000"/>
          <w:szCs w:val="24"/>
          <w:lang w:val="en-US"/>
        </w:rPr>
        <w:t>The geographical coverage</w:t>
      </w:r>
      <w:r w:rsidRPr="00112DB6">
        <w:rPr>
          <w:rFonts w:cs="Times New Roman"/>
          <w:szCs w:val="24"/>
          <w:lang w:val="en-US"/>
        </w:rPr>
        <w:t xml:space="preserve"> should be widened in future European studies to p</w:t>
      </w:r>
      <w:r w:rsidRPr="00112DB6">
        <w:rPr>
          <w:rFonts w:cs="Times New Roman"/>
          <w:color w:val="000000"/>
          <w:szCs w:val="24"/>
          <w:lang w:val="en-US"/>
        </w:rPr>
        <w:t>roduce</w:t>
      </w:r>
      <w:r w:rsidRPr="00112DB6">
        <w:rPr>
          <w:rFonts w:cs="Times New Roman"/>
          <w:szCs w:val="24"/>
          <w:lang w:val="en-US"/>
        </w:rPr>
        <w:t xml:space="preserve"> findings that are more representative and generalizable for all of Europe.</w:t>
      </w:r>
    </w:p>
    <w:p w14:paraId="5CF88BAB" w14:textId="77777777" w:rsidR="0064507B" w:rsidRPr="00112DB6" w:rsidRDefault="0064507B" w:rsidP="00565DEA">
      <w:pPr>
        <w:pStyle w:val="Heading1"/>
        <w:pageBreakBefore w:val="0"/>
        <w:spacing w:before="360" w:line="240" w:lineRule="auto"/>
        <w:rPr>
          <w:rFonts w:cs="Times New Roman"/>
          <w:bCs/>
          <w:sz w:val="28"/>
          <w:szCs w:val="28"/>
          <w:lang w:val="en-US"/>
        </w:rPr>
      </w:pPr>
      <w:r w:rsidRPr="00112DB6">
        <w:rPr>
          <w:rFonts w:cs="Times New Roman"/>
          <w:bCs/>
          <w:sz w:val="28"/>
          <w:szCs w:val="28"/>
          <w:lang w:val="en-US"/>
        </w:rPr>
        <w:t>A</w:t>
      </w:r>
      <w:r w:rsidRPr="00112DB6">
        <w:rPr>
          <w:rFonts w:cs="Times New Roman"/>
          <w:bCs/>
          <w:caps/>
          <w:sz w:val="28"/>
          <w:szCs w:val="28"/>
          <w:lang w:val="en-US"/>
        </w:rPr>
        <w:t>cknowledgements</w:t>
      </w:r>
    </w:p>
    <w:p w14:paraId="4612F66A" w14:textId="77777777" w:rsidR="0064507B" w:rsidRPr="00112DB6" w:rsidRDefault="0064507B" w:rsidP="009E51EE">
      <w:pPr>
        <w:shd w:val="clear" w:color="auto" w:fill="FFFFFF"/>
        <w:spacing w:before="0" w:after="0" w:line="240" w:lineRule="auto"/>
        <w:textAlignment w:val="baseline"/>
        <w:rPr>
          <w:rFonts w:cs="Times New Roman"/>
          <w:szCs w:val="24"/>
          <w:lang w:val="en-US"/>
        </w:rPr>
      </w:pPr>
    </w:p>
    <w:p w14:paraId="60840B6F" w14:textId="77777777" w:rsidR="0064507B" w:rsidRPr="00112DB6" w:rsidRDefault="0064507B" w:rsidP="009E51EE">
      <w:pPr>
        <w:shd w:val="clear" w:color="auto" w:fill="FFFFFF"/>
        <w:spacing w:before="0" w:after="0" w:line="240" w:lineRule="auto"/>
        <w:textAlignment w:val="baseline"/>
        <w:rPr>
          <w:rFonts w:cs="Times New Roman"/>
          <w:color w:val="000000"/>
          <w:shd w:val="clear" w:color="auto" w:fill="FFFFFF"/>
          <w:lang w:val="en-US"/>
        </w:rPr>
        <w:sectPr w:rsidR="0064507B" w:rsidRPr="00112DB6" w:rsidSect="00593F7F">
          <w:headerReference w:type="default" r:id="rId11"/>
          <w:pgSz w:w="11906" w:h="16838"/>
          <w:pgMar w:top="1440" w:right="1440" w:bottom="1440" w:left="1440" w:header="708" w:footer="708" w:gutter="0"/>
          <w:lnNumType w:countBy="1" w:restart="continuous"/>
          <w:cols w:space="708"/>
          <w:docGrid w:linePitch="360"/>
        </w:sectPr>
      </w:pPr>
      <w:proofErr w:type="gramStart"/>
      <w:r w:rsidRPr="00112DB6">
        <w:rPr>
          <w:rFonts w:cs="Times New Roman"/>
          <w:szCs w:val="24"/>
          <w:lang w:val="en-US"/>
        </w:rPr>
        <w:t xml:space="preserve">We are very grateful to all other </w:t>
      </w:r>
      <w:proofErr w:type="spellStart"/>
      <w:r w:rsidRPr="00112DB6">
        <w:rPr>
          <w:rFonts w:cs="Times New Roman"/>
          <w:szCs w:val="24"/>
          <w:lang w:val="en-US"/>
        </w:rPr>
        <w:t>EUROlinkCAT</w:t>
      </w:r>
      <w:proofErr w:type="spellEnd"/>
      <w:r w:rsidRPr="00112DB6">
        <w:rPr>
          <w:rFonts w:cs="Times New Roman"/>
          <w:szCs w:val="24"/>
          <w:lang w:val="en-US"/>
        </w:rPr>
        <w:t xml:space="preserve"> contributors to this paper for their work on the project (data linkage and standardization, running syntax scripts): </w:t>
      </w:r>
      <w:proofErr w:type="spellStart"/>
      <w:r w:rsidRPr="00112DB6">
        <w:rPr>
          <w:rFonts w:cs="Times New Roman"/>
          <w:szCs w:val="24"/>
          <w:lang w:val="en-US"/>
        </w:rPr>
        <w:t>Drs</w:t>
      </w:r>
      <w:proofErr w:type="spellEnd"/>
      <w:r w:rsidRPr="00112DB6">
        <w:rPr>
          <w:rFonts w:cs="Times New Roman"/>
          <w:szCs w:val="24"/>
          <w:lang w:val="en-US"/>
        </w:rPr>
        <w:t xml:space="preserve">  L. </w:t>
      </w:r>
      <w:r w:rsidRPr="00112DB6">
        <w:rPr>
          <w:rFonts w:cs="Times New Roman"/>
          <w:color w:val="000000"/>
          <w:szCs w:val="24"/>
          <w:shd w:val="clear" w:color="auto" w:fill="FFFFFF"/>
          <w:lang w:val="en-US"/>
        </w:rPr>
        <w:t>Renée Lutke and Nicole Siemensma-Mühlenberg (</w:t>
      </w:r>
      <w:r w:rsidRPr="00112DB6">
        <w:rPr>
          <w:rFonts w:cs="Times New Roman"/>
          <w:szCs w:val="24"/>
          <w:lang w:val="en-US"/>
        </w:rPr>
        <w:t>University Medical Center Groningen</w:t>
      </w:r>
      <w:r w:rsidRPr="00112DB6">
        <w:rPr>
          <w:rFonts w:cs="Times New Roman"/>
          <w:color w:val="000000"/>
          <w:szCs w:val="24"/>
          <w:shd w:val="clear" w:color="auto" w:fill="FFFFFF"/>
          <w:lang w:val="en-US"/>
        </w:rPr>
        <w:t xml:space="preserve">, </w:t>
      </w:r>
      <w:r w:rsidRPr="00112DB6">
        <w:rPr>
          <w:rFonts w:cs="Times New Roman"/>
          <w:szCs w:val="24"/>
          <w:lang w:val="en-US"/>
        </w:rPr>
        <w:t>Groningen</w:t>
      </w:r>
      <w:r w:rsidRPr="00112DB6">
        <w:rPr>
          <w:rFonts w:cs="Times New Roman"/>
          <w:color w:val="000000"/>
          <w:szCs w:val="24"/>
          <w:shd w:val="clear" w:color="auto" w:fill="FFFFFF"/>
          <w:lang w:val="en-US"/>
        </w:rPr>
        <w:t xml:space="preserve">, The Netherlands); </w:t>
      </w:r>
      <w:r w:rsidRPr="00112DB6">
        <w:rPr>
          <w:rFonts w:eastAsia="Times New Roman" w:cs="Times New Roman"/>
          <w:color w:val="000000"/>
          <w:szCs w:val="24"/>
          <w:bdr w:val="none" w:sz="0" w:space="0" w:color="auto" w:frame="1"/>
          <w:shd w:val="clear" w:color="auto" w:fill="FFFFFF"/>
          <w:lang w:val="en-US" w:eastAsia="en-GB"/>
        </w:rPr>
        <w:t xml:space="preserve">Sandra Moreno </w:t>
      </w:r>
      <w:proofErr w:type="spellStart"/>
      <w:r w:rsidRPr="00112DB6">
        <w:rPr>
          <w:rFonts w:eastAsia="Times New Roman" w:cs="Times New Roman"/>
          <w:color w:val="000000"/>
          <w:szCs w:val="24"/>
          <w:bdr w:val="none" w:sz="0" w:space="0" w:color="auto" w:frame="1"/>
          <w:shd w:val="clear" w:color="auto" w:fill="FFFFFF"/>
          <w:lang w:val="en-US" w:eastAsia="en-GB"/>
        </w:rPr>
        <w:t>Marro</w:t>
      </w:r>
      <w:proofErr w:type="spellEnd"/>
      <w:r w:rsidRPr="00112DB6">
        <w:rPr>
          <w:rFonts w:eastAsia="Times New Roman" w:cs="Times New Roman"/>
          <w:color w:val="000000"/>
          <w:szCs w:val="24"/>
          <w:bdr w:val="none" w:sz="0" w:space="0" w:color="auto" w:frame="1"/>
          <w:shd w:val="clear" w:color="auto" w:fill="FFFFFF"/>
          <w:lang w:val="en-US" w:eastAsia="en-GB"/>
        </w:rPr>
        <w:t xml:space="preserve">, </w:t>
      </w:r>
      <w:proofErr w:type="spellStart"/>
      <w:r w:rsidRPr="00112DB6">
        <w:rPr>
          <w:rFonts w:eastAsia="Times New Roman" w:cs="Times New Roman"/>
          <w:color w:val="000000"/>
          <w:szCs w:val="24"/>
          <w:bdr w:val="none" w:sz="0" w:space="0" w:color="auto" w:frame="1"/>
          <w:shd w:val="clear" w:color="auto" w:fill="FFFFFF"/>
          <w:lang w:val="en-US" w:eastAsia="en-GB"/>
        </w:rPr>
        <w:t>Laia</w:t>
      </w:r>
      <w:proofErr w:type="spellEnd"/>
      <w:r w:rsidRPr="00112DB6">
        <w:rPr>
          <w:rFonts w:eastAsia="Times New Roman" w:cs="Times New Roman"/>
          <w:color w:val="000000"/>
          <w:szCs w:val="24"/>
          <w:bdr w:val="none" w:sz="0" w:space="0" w:color="auto" w:frame="1"/>
          <w:shd w:val="clear" w:color="auto" w:fill="FFFFFF"/>
          <w:lang w:val="en-US" w:eastAsia="en-GB"/>
        </w:rPr>
        <w:t xml:space="preserve"> </w:t>
      </w:r>
      <w:proofErr w:type="spellStart"/>
      <w:r w:rsidRPr="00112DB6">
        <w:rPr>
          <w:rFonts w:eastAsia="Times New Roman" w:cs="Times New Roman"/>
          <w:color w:val="000000"/>
          <w:szCs w:val="24"/>
          <w:bdr w:val="none" w:sz="0" w:space="0" w:color="auto" w:frame="1"/>
          <w:shd w:val="clear" w:color="auto" w:fill="FFFFFF"/>
          <w:lang w:val="en-US" w:eastAsia="en-GB"/>
        </w:rPr>
        <w:t>Barrachina</w:t>
      </w:r>
      <w:proofErr w:type="spellEnd"/>
      <w:r w:rsidRPr="00112DB6">
        <w:rPr>
          <w:rFonts w:eastAsia="Times New Roman" w:cs="Times New Roman"/>
          <w:color w:val="000000"/>
          <w:szCs w:val="24"/>
          <w:bdr w:val="none" w:sz="0" w:space="0" w:color="auto" w:frame="1"/>
          <w:shd w:val="clear" w:color="auto" w:fill="FFFFFF"/>
          <w:lang w:val="en-US" w:eastAsia="en-GB"/>
        </w:rPr>
        <w:t xml:space="preserve"> </w:t>
      </w:r>
      <w:proofErr w:type="spellStart"/>
      <w:r w:rsidRPr="00112DB6">
        <w:rPr>
          <w:rFonts w:eastAsia="Times New Roman" w:cs="Times New Roman"/>
          <w:color w:val="000000"/>
          <w:szCs w:val="24"/>
          <w:bdr w:val="none" w:sz="0" w:space="0" w:color="auto" w:frame="1"/>
          <w:shd w:val="clear" w:color="auto" w:fill="FFFFFF"/>
          <w:lang w:val="en-US" w:eastAsia="en-GB"/>
        </w:rPr>
        <w:t>Bonet</w:t>
      </w:r>
      <w:proofErr w:type="spellEnd"/>
      <w:r w:rsidRPr="00112DB6">
        <w:rPr>
          <w:rFonts w:eastAsia="Times New Roman" w:cs="Times New Roman"/>
          <w:color w:val="000000"/>
          <w:szCs w:val="24"/>
          <w:bdr w:val="none" w:sz="0" w:space="0" w:color="auto" w:frame="1"/>
          <w:shd w:val="clear" w:color="auto" w:fill="FFFFFF"/>
          <w:lang w:val="en-US" w:eastAsia="en-GB"/>
        </w:rPr>
        <w:t xml:space="preserve"> and </w:t>
      </w:r>
      <w:r w:rsidRPr="00112DB6">
        <w:rPr>
          <w:rFonts w:cs="Times New Roman"/>
          <w:color w:val="201F1E"/>
          <w:szCs w:val="24"/>
          <w:shd w:val="clear" w:color="auto" w:fill="FFFFFF"/>
          <w:lang w:val="en-US"/>
        </w:rPr>
        <w:t xml:space="preserve">Laura </w:t>
      </w:r>
      <w:proofErr w:type="spellStart"/>
      <w:r w:rsidRPr="00112DB6">
        <w:rPr>
          <w:rFonts w:cs="Times New Roman"/>
          <w:color w:val="201F1E"/>
          <w:szCs w:val="24"/>
          <w:shd w:val="clear" w:color="auto" w:fill="FFFFFF"/>
          <w:lang w:val="en-US"/>
        </w:rPr>
        <w:t>García</w:t>
      </w:r>
      <w:proofErr w:type="spellEnd"/>
      <w:r w:rsidRPr="00112DB6">
        <w:rPr>
          <w:rFonts w:cs="Times New Roman"/>
          <w:color w:val="201F1E"/>
          <w:szCs w:val="24"/>
          <w:shd w:val="clear" w:color="auto" w:fill="FFFFFF"/>
          <w:lang w:val="en-US"/>
        </w:rPr>
        <w:t xml:space="preserve"> </w:t>
      </w:r>
      <w:proofErr w:type="spellStart"/>
      <w:r w:rsidRPr="00112DB6">
        <w:rPr>
          <w:rFonts w:cs="Times New Roman"/>
          <w:color w:val="201F1E"/>
          <w:szCs w:val="24"/>
          <w:shd w:val="clear" w:color="auto" w:fill="FFFFFF"/>
          <w:lang w:val="en-US"/>
        </w:rPr>
        <w:t>Villodre</w:t>
      </w:r>
      <w:proofErr w:type="spellEnd"/>
      <w:r w:rsidRPr="00112DB6">
        <w:rPr>
          <w:rFonts w:eastAsia="Times New Roman" w:cs="Times New Roman"/>
          <w:color w:val="000000"/>
          <w:szCs w:val="24"/>
          <w:bdr w:val="none" w:sz="0" w:space="0" w:color="auto" w:frame="1"/>
          <w:shd w:val="clear" w:color="auto" w:fill="FFFFFF"/>
          <w:lang w:val="en-US" w:eastAsia="en-GB"/>
        </w:rPr>
        <w:t xml:space="preserve"> (Foundation for the Promotion of Health and Biomedical Research in the Valencian Region, Valencia, Spain);</w:t>
      </w:r>
      <w:r w:rsidRPr="00112DB6">
        <w:rPr>
          <w:color w:val="000000"/>
          <w:bdr w:val="none" w:sz="0" w:space="0" w:color="auto" w:frame="1"/>
          <w:shd w:val="clear" w:color="auto" w:fill="FFFFFF"/>
          <w:lang w:val="en-US"/>
        </w:rPr>
        <w:t xml:space="preserve"> Dr </w:t>
      </w:r>
      <w:r w:rsidRPr="00112DB6">
        <w:rPr>
          <w:color w:val="201F1E"/>
          <w:bdr w:val="none" w:sz="0" w:space="0" w:color="auto" w:frame="1"/>
          <w:lang w:val="en-US"/>
        </w:rPr>
        <w:t>Sonja Kiuru-Kuhlefelt and Tuuli Puroharju (</w:t>
      </w:r>
      <w:r w:rsidRPr="00112DB6">
        <w:rPr>
          <w:color w:val="212121"/>
          <w:bdr w:val="none" w:sz="0" w:space="0" w:color="auto" w:frame="1"/>
          <w:shd w:val="clear" w:color="auto" w:fill="FFFFFF"/>
          <w:lang w:val="en-US"/>
        </w:rPr>
        <w:t>THL Finnish Institute for Health and Welfare.</w:t>
      </w:r>
      <w:proofErr w:type="gramEnd"/>
      <w:r w:rsidRPr="00112DB6">
        <w:rPr>
          <w:color w:val="212121"/>
          <w:bdr w:val="none" w:sz="0" w:space="0" w:color="auto" w:frame="1"/>
          <w:shd w:val="clear" w:color="auto" w:fill="FFFFFF"/>
          <w:lang w:val="en-US"/>
        </w:rPr>
        <w:t xml:space="preserve"> Helsinki,</w:t>
      </w:r>
      <w:r w:rsidRPr="00112DB6">
        <w:rPr>
          <w:color w:val="4D5156"/>
          <w:spacing w:val="4"/>
          <w:bdr w:val="none" w:sz="0" w:space="0" w:color="auto" w:frame="1"/>
          <w:shd w:val="clear" w:color="auto" w:fill="FFFFFF"/>
          <w:lang w:val="en-US"/>
        </w:rPr>
        <w:t xml:space="preserve"> </w:t>
      </w:r>
      <w:r w:rsidRPr="00112DB6">
        <w:rPr>
          <w:color w:val="201F1E"/>
          <w:bdr w:val="none" w:sz="0" w:space="0" w:color="auto" w:frame="1"/>
          <w:lang w:val="en-US"/>
        </w:rPr>
        <w:t xml:space="preserve">Finland); </w:t>
      </w:r>
      <w:proofErr w:type="spellStart"/>
      <w:r w:rsidRPr="00112DB6">
        <w:rPr>
          <w:rFonts w:eastAsia="Times New Roman" w:cs="Times New Roman"/>
          <w:color w:val="000000"/>
          <w:szCs w:val="24"/>
          <w:bdr w:val="none" w:sz="0" w:space="0" w:color="auto" w:frame="1"/>
          <w:shd w:val="clear" w:color="auto" w:fill="FFFFFF"/>
          <w:lang w:val="en-US" w:eastAsia="en-GB"/>
        </w:rPr>
        <w:t>Drs</w:t>
      </w:r>
      <w:proofErr w:type="spellEnd"/>
      <w:r w:rsidRPr="00112DB6">
        <w:rPr>
          <w:rFonts w:eastAsia="Times New Roman" w:cs="Times New Roman"/>
          <w:color w:val="000000"/>
          <w:szCs w:val="24"/>
          <w:bdr w:val="none" w:sz="0" w:space="0" w:color="auto" w:frame="1"/>
          <w:shd w:val="clear" w:color="auto" w:fill="FFFFFF"/>
          <w:lang w:val="en-US" w:eastAsia="en-GB"/>
        </w:rPr>
        <w:t xml:space="preserve"> Gianni </w:t>
      </w:r>
      <w:proofErr w:type="spellStart"/>
      <w:r w:rsidRPr="00112DB6">
        <w:rPr>
          <w:rFonts w:eastAsia="Times New Roman" w:cs="Times New Roman"/>
          <w:color w:val="000000"/>
          <w:szCs w:val="24"/>
          <w:bdr w:val="none" w:sz="0" w:space="0" w:color="auto" w:frame="1"/>
          <w:shd w:val="clear" w:color="auto" w:fill="FFFFFF"/>
          <w:lang w:val="en-US" w:eastAsia="en-GB"/>
        </w:rPr>
        <w:t>Astolfi</w:t>
      </w:r>
      <w:proofErr w:type="spellEnd"/>
      <w:r w:rsidRPr="00112DB6">
        <w:rPr>
          <w:rFonts w:eastAsia="Times New Roman" w:cs="Times New Roman"/>
          <w:color w:val="000000"/>
          <w:szCs w:val="24"/>
          <w:bdr w:val="none" w:sz="0" w:space="0" w:color="auto" w:frame="1"/>
          <w:shd w:val="clear" w:color="auto" w:fill="FFFFFF"/>
          <w:lang w:val="en-US" w:eastAsia="en-GB"/>
        </w:rPr>
        <w:t>, Aurora Puccini, Annarita Armaroli (</w:t>
      </w:r>
      <w:r w:rsidRPr="00112DB6">
        <w:rPr>
          <w:rFonts w:eastAsia="Times New Roman" w:cs="Times New Roman"/>
          <w:color w:val="201F1E"/>
          <w:szCs w:val="24"/>
          <w:lang w:val="en-US" w:eastAsia="en-GB"/>
        </w:rPr>
        <w:t xml:space="preserve">Center for Clinical and Epidemiological Research, University of Ferrara, Ferrara, </w:t>
      </w:r>
      <w:r w:rsidRPr="00112DB6">
        <w:rPr>
          <w:rFonts w:eastAsia="Times New Roman" w:cs="Times New Roman"/>
          <w:color w:val="000000"/>
          <w:szCs w:val="24"/>
          <w:lang w:val="en-US" w:eastAsia="en-GB"/>
        </w:rPr>
        <w:t xml:space="preserve">Italy); Nathalie </w:t>
      </w:r>
      <w:proofErr w:type="spellStart"/>
      <w:r w:rsidRPr="00112DB6">
        <w:rPr>
          <w:rFonts w:eastAsia="Times New Roman" w:cs="Times New Roman"/>
          <w:color w:val="000000"/>
          <w:szCs w:val="24"/>
          <w:lang w:val="en-US" w:eastAsia="en-GB"/>
        </w:rPr>
        <w:t>Bertille</w:t>
      </w:r>
      <w:proofErr w:type="spellEnd"/>
      <w:r w:rsidRPr="00112DB6">
        <w:rPr>
          <w:rFonts w:eastAsia="Times New Roman" w:cs="Times New Roman"/>
          <w:color w:val="000000"/>
          <w:szCs w:val="24"/>
          <w:lang w:val="en-US" w:eastAsia="en-GB"/>
        </w:rPr>
        <w:t xml:space="preserve"> and </w:t>
      </w:r>
      <w:proofErr w:type="spellStart"/>
      <w:r w:rsidRPr="00112DB6">
        <w:rPr>
          <w:rFonts w:cs="Times New Roman"/>
          <w:color w:val="201F1E"/>
          <w:szCs w:val="24"/>
          <w:shd w:val="clear" w:color="auto" w:fill="FFFFFF"/>
          <w:lang w:val="en-US"/>
        </w:rPr>
        <w:t>Makan</w:t>
      </w:r>
      <w:proofErr w:type="spellEnd"/>
      <w:r w:rsidRPr="00112DB6">
        <w:rPr>
          <w:rFonts w:cs="Times New Roman"/>
          <w:color w:val="201F1E"/>
          <w:szCs w:val="24"/>
          <w:shd w:val="clear" w:color="auto" w:fill="FFFFFF"/>
          <w:lang w:val="en-US"/>
        </w:rPr>
        <w:t xml:space="preserve"> </w:t>
      </w:r>
      <w:proofErr w:type="spellStart"/>
      <w:r w:rsidRPr="00112DB6">
        <w:rPr>
          <w:rFonts w:cs="Times New Roman"/>
          <w:color w:val="201F1E"/>
          <w:szCs w:val="24"/>
          <w:shd w:val="clear" w:color="auto" w:fill="FFFFFF"/>
          <w:lang w:val="en-US"/>
        </w:rPr>
        <w:t>Rahshenas</w:t>
      </w:r>
      <w:proofErr w:type="spellEnd"/>
      <w:r w:rsidRPr="00112DB6">
        <w:rPr>
          <w:rFonts w:eastAsia="Times New Roman" w:cs="Times New Roman"/>
          <w:color w:val="000000"/>
          <w:szCs w:val="24"/>
          <w:lang w:val="en-US" w:eastAsia="en-GB"/>
        </w:rPr>
        <w:t xml:space="preserve"> (INSERM, Paris, France); Professor Sue Jordan (Swansea University, Wales, United Kingdom); Professor Elizabeth Draper (</w:t>
      </w:r>
      <w:r w:rsidRPr="00112DB6">
        <w:rPr>
          <w:rFonts w:cs="Times New Roman"/>
          <w:szCs w:val="24"/>
          <w:lang w:val="en-US"/>
        </w:rPr>
        <w:t>University of Leicester,</w:t>
      </w:r>
      <w:r w:rsidRPr="00112DB6">
        <w:rPr>
          <w:rFonts w:cs="Times New Roman"/>
          <w:szCs w:val="24"/>
          <w:lang w:val="en-US" w:eastAsia="en-GB"/>
        </w:rPr>
        <w:t xml:space="preserve"> </w:t>
      </w:r>
      <w:r w:rsidRPr="00112DB6">
        <w:rPr>
          <w:rFonts w:cs="Times New Roman"/>
          <w:szCs w:val="24"/>
          <w:lang w:val="en-US"/>
        </w:rPr>
        <w:t>Leicester</w:t>
      </w:r>
      <w:r w:rsidRPr="00112DB6">
        <w:rPr>
          <w:rFonts w:cs="Times New Roman"/>
          <w:szCs w:val="24"/>
          <w:lang w:val="en-US" w:eastAsia="en-GB"/>
        </w:rPr>
        <w:t xml:space="preserve">, </w:t>
      </w:r>
      <w:r w:rsidRPr="00112DB6">
        <w:rPr>
          <w:rFonts w:eastAsia="Times New Roman" w:cs="Times New Roman"/>
          <w:color w:val="000000"/>
          <w:szCs w:val="24"/>
          <w:lang w:val="en-US" w:eastAsia="en-GB"/>
        </w:rPr>
        <w:t>United Kingdom</w:t>
      </w:r>
      <w:r w:rsidRPr="00112DB6">
        <w:rPr>
          <w:rFonts w:cs="Times New Roman"/>
          <w:szCs w:val="24"/>
          <w:lang w:val="en-US" w:eastAsia="en-GB"/>
        </w:rPr>
        <w:t xml:space="preserve">); Professor </w:t>
      </w:r>
      <w:r w:rsidRPr="00112DB6">
        <w:rPr>
          <w:szCs w:val="24"/>
          <w:lang w:val="en-US"/>
        </w:rPr>
        <w:t xml:space="preserve">Jenny </w:t>
      </w:r>
      <w:proofErr w:type="spellStart"/>
      <w:r w:rsidRPr="00112DB6">
        <w:rPr>
          <w:szCs w:val="24"/>
          <w:lang w:val="en-US"/>
        </w:rPr>
        <w:t>Kurinczuk</w:t>
      </w:r>
      <w:proofErr w:type="spellEnd"/>
      <w:r w:rsidRPr="00112DB6">
        <w:rPr>
          <w:szCs w:val="24"/>
          <w:lang w:val="en-US"/>
        </w:rPr>
        <w:t xml:space="preserve"> (</w:t>
      </w:r>
      <w:r w:rsidRPr="00112DB6">
        <w:rPr>
          <w:rFonts w:cs="Times New Roman"/>
          <w:color w:val="404040"/>
          <w:szCs w:val="24"/>
          <w:lang w:val="en-US"/>
        </w:rPr>
        <w:t>University of Oxford, Oxford, United Kingdom).</w:t>
      </w:r>
      <w:r w:rsidRPr="00112DB6">
        <w:rPr>
          <w:rFonts w:cs="Times New Roman"/>
          <w:color w:val="000000"/>
          <w:shd w:val="clear" w:color="auto" w:fill="FFFFFF"/>
          <w:lang w:val="en-US"/>
        </w:rPr>
        <w:t xml:space="preserve"> We also thank </w:t>
      </w:r>
      <w:proofErr w:type="spellStart"/>
      <w:r w:rsidRPr="00112DB6">
        <w:rPr>
          <w:rFonts w:cs="Times New Roman"/>
          <w:color w:val="000000"/>
          <w:shd w:val="clear" w:color="auto" w:fill="FFFFFF"/>
          <w:lang w:val="en-US"/>
        </w:rPr>
        <w:t>Mr</w:t>
      </w:r>
      <w:proofErr w:type="spellEnd"/>
      <w:r w:rsidRPr="00112DB6">
        <w:rPr>
          <w:rFonts w:cs="Times New Roman"/>
          <w:color w:val="000000"/>
          <w:shd w:val="clear" w:color="auto" w:fill="FFFFFF"/>
          <w:lang w:val="en-US"/>
        </w:rPr>
        <w:t xml:space="preserve"> Hugh Claridge for the project management.</w:t>
      </w:r>
    </w:p>
    <w:p w14:paraId="44B793BD" w14:textId="77777777" w:rsidR="0064507B" w:rsidRPr="00112DB6" w:rsidRDefault="0064507B" w:rsidP="009E51EE">
      <w:pPr>
        <w:pStyle w:val="Heading1"/>
        <w:spacing w:before="0"/>
        <w:rPr>
          <w:caps/>
          <w:szCs w:val="24"/>
          <w:lang w:val="en-US"/>
        </w:rPr>
      </w:pPr>
      <w:r w:rsidRPr="00112DB6">
        <w:rPr>
          <w:caps/>
          <w:sz w:val="28"/>
          <w:szCs w:val="28"/>
          <w:lang w:val="en-US"/>
        </w:rPr>
        <w:lastRenderedPageBreak/>
        <w:t>References</w:t>
      </w:r>
    </w:p>
    <w:p w14:paraId="51ABA183" w14:textId="77777777" w:rsidR="0064507B" w:rsidRPr="00112DB6" w:rsidRDefault="0064507B" w:rsidP="00B71150">
      <w:pPr>
        <w:pStyle w:val="EndNoteBibliography"/>
        <w:spacing w:after="0"/>
        <w:ind w:left="440" w:hanging="440"/>
      </w:pPr>
      <w:r w:rsidRPr="00112DB6">
        <w:t>1.</w:t>
      </w:r>
      <w:r w:rsidRPr="00112DB6">
        <w:tab/>
        <w:t>Euro-Peristat Project. European Perinatal Health Report. Core indicators of the health and care of pregnant women and babies in Europe in 2015. Available at: https://europeristat.com/reports/8-our-publications.html. Published 2018. Accessed 20 April 2021.</w:t>
      </w:r>
    </w:p>
    <w:p w14:paraId="405FEEFD" w14:textId="77777777" w:rsidR="0064507B" w:rsidRPr="00112DB6" w:rsidRDefault="0064507B" w:rsidP="00B71150">
      <w:pPr>
        <w:pStyle w:val="EndNoteBibliography"/>
        <w:spacing w:after="0"/>
        <w:ind w:left="440" w:hanging="440"/>
      </w:pPr>
      <w:r w:rsidRPr="00112DB6">
        <w:t>2.</w:t>
      </w:r>
      <w:r w:rsidRPr="00112DB6">
        <w:tab/>
        <w:t xml:space="preserve">Heron M. Deaths: Leading Causes for 2017. </w:t>
      </w:r>
      <w:r w:rsidRPr="00112DB6">
        <w:rPr>
          <w:i/>
        </w:rPr>
        <w:t>Natl Vital Stat Rep</w:t>
      </w:r>
      <w:r w:rsidRPr="00112DB6">
        <w:t>. 2019;68(6):1-77.</w:t>
      </w:r>
    </w:p>
    <w:p w14:paraId="3B6035EE" w14:textId="77777777" w:rsidR="0064507B" w:rsidRPr="00112DB6" w:rsidRDefault="0064507B" w:rsidP="00B71150">
      <w:pPr>
        <w:pStyle w:val="EndNoteBibliography"/>
        <w:spacing w:after="0"/>
        <w:ind w:left="440" w:hanging="440"/>
      </w:pPr>
      <w:r w:rsidRPr="00112DB6">
        <w:t>3.</w:t>
      </w:r>
      <w:r w:rsidRPr="00112DB6">
        <w:tab/>
        <w:t>Office for National Statistics. Infant mortality (birth cohort) tables in England and Wales, 2017. Stillbirths and infant deaths (total by ethnicity): ONS cause groups in 2017, numbers (Table 16). Available at: https://www.ons.gov.uk/peoplepopulationandcommunity/birthsdeathsandmarriages/deaths/datasets/infantmortalitybirthcohorttablesinenglandandwales. Published 2020. Accessed February 09, 2021.</w:t>
      </w:r>
    </w:p>
    <w:p w14:paraId="7501B304" w14:textId="77777777" w:rsidR="0064507B" w:rsidRPr="00112DB6" w:rsidRDefault="0064507B" w:rsidP="00B71150">
      <w:pPr>
        <w:pStyle w:val="EndNoteBibliography"/>
        <w:spacing w:after="0"/>
        <w:ind w:left="440" w:hanging="440"/>
      </w:pPr>
      <w:r w:rsidRPr="00112DB6">
        <w:t>4.</w:t>
      </w:r>
      <w:r w:rsidRPr="00112DB6">
        <w:tab/>
        <w:t xml:space="preserve">Rosano A, Botto LD, Botting B, Mastroiacovo P. Infant mortality and congenital anomalies from 1950 to 1994: an international perspective. </w:t>
      </w:r>
      <w:r w:rsidRPr="00112DB6">
        <w:rPr>
          <w:i/>
        </w:rPr>
        <w:t>J Epidemiol Comm Health</w:t>
      </w:r>
      <w:r w:rsidRPr="00112DB6">
        <w:t>. 2000;54(9):660-666.</w:t>
      </w:r>
    </w:p>
    <w:p w14:paraId="5D3D8C33" w14:textId="77777777" w:rsidR="0064507B" w:rsidRPr="00112DB6" w:rsidRDefault="0064507B" w:rsidP="00B71150">
      <w:pPr>
        <w:pStyle w:val="EndNoteBibliography"/>
        <w:spacing w:after="0"/>
        <w:ind w:left="440" w:hanging="440"/>
      </w:pPr>
      <w:r w:rsidRPr="00112DB6">
        <w:t>5.</w:t>
      </w:r>
      <w:r w:rsidRPr="00112DB6">
        <w:tab/>
        <w:t>World Health Organization The Global Health Observatory. World health data platform. Distribution of causes of death among children aged &lt; 5 years (%). Available at: https://www.who.int/data/gho/data/indicators/indicator-details/GHO/distribution-of-causes-of-death-among-children-aged-5-years-(-). Published 2017. Accessed 20 April 2021.</w:t>
      </w:r>
    </w:p>
    <w:p w14:paraId="1D386229" w14:textId="77777777" w:rsidR="0064507B" w:rsidRPr="00112DB6" w:rsidRDefault="0064507B" w:rsidP="00B71150">
      <w:pPr>
        <w:pStyle w:val="EndNoteBibliography"/>
        <w:spacing w:after="0"/>
        <w:ind w:left="440" w:hanging="440"/>
      </w:pPr>
      <w:r w:rsidRPr="00112DB6">
        <w:t>6.</w:t>
      </w:r>
      <w:r w:rsidRPr="00112DB6">
        <w:tab/>
        <w:t xml:space="preserve">GBD Child Mortality Collaborators. Global, regional, national, and selected subnational levels of stillbirths, neonatal, infant, and under-5 mortality, 1980-2015: a systematic analysis for the Global Burden of Disease Study 2015. </w:t>
      </w:r>
      <w:r w:rsidRPr="00112DB6">
        <w:rPr>
          <w:i/>
        </w:rPr>
        <w:t>Lancet</w:t>
      </w:r>
      <w:r w:rsidRPr="00112DB6">
        <w:t>. 2016;388(10053):1725-1774.</w:t>
      </w:r>
    </w:p>
    <w:p w14:paraId="171A8C60" w14:textId="77777777" w:rsidR="0064507B" w:rsidRPr="00112DB6" w:rsidRDefault="0064507B" w:rsidP="00B71150">
      <w:pPr>
        <w:pStyle w:val="EndNoteBibliography"/>
        <w:spacing w:after="0"/>
        <w:ind w:left="440" w:hanging="440"/>
      </w:pPr>
      <w:r w:rsidRPr="00112DB6">
        <w:t>7.</w:t>
      </w:r>
      <w:r w:rsidRPr="00112DB6">
        <w:tab/>
        <w:t xml:space="preserve">Fraser J, Sidebotham P, Frederick J, Covington T, Mitchell EA. Learning from child death review in the USA, England, Australia, and New Zealand. </w:t>
      </w:r>
      <w:r w:rsidRPr="00112DB6">
        <w:rPr>
          <w:i/>
        </w:rPr>
        <w:t>Lancet</w:t>
      </w:r>
      <w:r w:rsidRPr="00112DB6">
        <w:t>. 2014;384(9946):894-903.</w:t>
      </w:r>
    </w:p>
    <w:p w14:paraId="7087EB4E" w14:textId="77777777" w:rsidR="0064507B" w:rsidRPr="00112DB6" w:rsidRDefault="0064507B" w:rsidP="00B71150">
      <w:pPr>
        <w:pStyle w:val="EndNoteBibliography"/>
        <w:spacing w:after="0"/>
        <w:ind w:left="440" w:hanging="440"/>
      </w:pPr>
      <w:r w:rsidRPr="00112DB6">
        <w:t>8.</w:t>
      </w:r>
      <w:r w:rsidRPr="00112DB6">
        <w:tab/>
        <w:t xml:space="preserve">Gianino MM, Lenzi J, Bonaudo M, Fantini MP, Siliquini R, Ricciardi W, et al. Patterns of amenable child mortality over time in 34 member countries of the Organisation for Economic Co-operation and Development (OECD): evidence from a 15-year time trend analysis (2001-2015). </w:t>
      </w:r>
      <w:r w:rsidRPr="00112DB6">
        <w:rPr>
          <w:i/>
        </w:rPr>
        <w:t>BMJ Open</w:t>
      </w:r>
      <w:r w:rsidRPr="00112DB6">
        <w:t>. 2019;9(5):e027909.</w:t>
      </w:r>
    </w:p>
    <w:p w14:paraId="295B0487" w14:textId="77777777" w:rsidR="0064507B" w:rsidRPr="00112DB6" w:rsidRDefault="0064507B" w:rsidP="00B71150">
      <w:pPr>
        <w:pStyle w:val="EndNoteBibliography"/>
        <w:spacing w:after="0"/>
        <w:ind w:left="440" w:hanging="440"/>
      </w:pPr>
      <w:r w:rsidRPr="00112DB6">
        <w:t>9.</w:t>
      </w:r>
      <w:r w:rsidRPr="00112DB6">
        <w:tab/>
        <w:t>World Health Organization. Health 2015: from MDGs, Millennium Development Goals to SDGs, Sustainable Development Goals. Chapter 4. Snapshot: Child Health. Switzerland: WHO; 2015.</w:t>
      </w:r>
    </w:p>
    <w:p w14:paraId="23C965D1" w14:textId="77777777" w:rsidR="0064507B" w:rsidRPr="00112DB6" w:rsidRDefault="0064507B" w:rsidP="00B71150">
      <w:pPr>
        <w:pStyle w:val="EndNoteBibliography"/>
        <w:spacing w:after="0"/>
        <w:ind w:left="440" w:hanging="440"/>
      </w:pPr>
      <w:r w:rsidRPr="00112DB6">
        <w:t>10.</w:t>
      </w:r>
      <w:r w:rsidRPr="00112DB6">
        <w:tab/>
        <w:t xml:space="preserve">Hug L, Alexander M, You D, Alkema L, U. N. Inter-agency Group for Child Mortality Estimation. National, regional, and global levels and trends in neonatal mortality between 1990 and 2017, with scenario-based projections to 2030: a systematic analysis. </w:t>
      </w:r>
      <w:r w:rsidRPr="00112DB6">
        <w:rPr>
          <w:i/>
        </w:rPr>
        <w:t>Lancet Glob Health</w:t>
      </w:r>
      <w:r w:rsidRPr="00112DB6">
        <w:t>. 2019;7(6):e710-e720.</w:t>
      </w:r>
    </w:p>
    <w:p w14:paraId="0053D44D" w14:textId="77777777" w:rsidR="0064507B" w:rsidRPr="00112DB6" w:rsidRDefault="0064507B" w:rsidP="00B71150">
      <w:pPr>
        <w:pStyle w:val="EndNoteBibliography"/>
        <w:spacing w:after="0"/>
        <w:ind w:left="440" w:hanging="440"/>
      </w:pPr>
      <w:r w:rsidRPr="00112DB6">
        <w:t>11.</w:t>
      </w:r>
      <w:r w:rsidRPr="00112DB6">
        <w:tab/>
        <w:t xml:space="preserve">Sartorius BKD, Sartorius K. Global infant mortality trends and attributable determinants – an ecological study using data from 192 countries for the period 1990–2011. </w:t>
      </w:r>
      <w:r w:rsidRPr="00112DB6">
        <w:rPr>
          <w:i/>
        </w:rPr>
        <w:t>Popul Health Metrics</w:t>
      </w:r>
      <w:r w:rsidRPr="00112DB6">
        <w:t>. 2014;12:29.</w:t>
      </w:r>
    </w:p>
    <w:p w14:paraId="2B044B7E" w14:textId="77777777" w:rsidR="0064507B" w:rsidRPr="00112DB6" w:rsidRDefault="0064507B" w:rsidP="00B71150">
      <w:pPr>
        <w:pStyle w:val="EndNoteBibliography"/>
        <w:spacing w:after="0"/>
        <w:ind w:left="440" w:hanging="440"/>
      </w:pPr>
      <w:r w:rsidRPr="00112DB6">
        <w:t>12.</w:t>
      </w:r>
      <w:r w:rsidRPr="00112DB6">
        <w:tab/>
        <w:t xml:space="preserve">Wolfe I, Thompson M, Gill P, Tamburlini G, Blair M, van den Bruel A, et al. Health services for children in western Europe. </w:t>
      </w:r>
      <w:r w:rsidRPr="00112DB6">
        <w:rPr>
          <w:i/>
        </w:rPr>
        <w:t>Lancet</w:t>
      </w:r>
      <w:r w:rsidRPr="00112DB6">
        <w:t>. 2013;381(9873):1224-1234.</w:t>
      </w:r>
    </w:p>
    <w:p w14:paraId="5ED0D91F" w14:textId="7D721750" w:rsidR="0064507B" w:rsidRPr="00112DB6" w:rsidRDefault="0064507B" w:rsidP="00B71150">
      <w:pPr>
        <w:pStyle w:val="EndNoteBibliography"/>
        <w:spacing w:after="0"/>
        <w:ind w:left="440" w:hanging="440"/>
      </w:pPr>
      <w:r w:rsidRPr="00112DB6">
        <w:lastRenderedPageBreak/>
        <w:t>13.</w:t>
      </w:r>
      <w:r w:rsidRPr="00112DB6">
        <w:tab/>
        <w:t xml:space="preserve">Berger KH, Zhu BP, Copeland G. Mortality throughout early childhood for Michigan children born with congenital anomalies, 1992-1998. </w:t>
      </w:r>
      <w:r w:rsidR="007A0AF0" w:rsidRPr="00112DB6">
        <w:rPr>
          <w:i/>
        </w:rPr>
        <w:t>Birth Defects Res A Clin Mol Teratol</w:t>
      </w:r>
      <w:r w:rsidR="007A0AF0" w:rsidRPr="00112DB6">
        <w:t xml:space="preserve">. </w:t>
      </w:r>
      <w:r w:rsidRPr="00112DB6">
        <w:t>2003;67(9):656-661.</w:t>
      </w:r>
    </w:p>
    <w:p w14:paraId="0D2652E8" w14:textId="77777777" w:rsidR="0064507B" w:rsidRPr="00112DB6" w:rsidRDefault="0064507B" w:rsidP="00B71150">
      <w:pPr>
        <w:pStyle w:val="EndNoteBibliography"/>
        <w:spacing w:after="0"/>
        <w:ind w:left="440" w:hanging="440"/>
      </w:pPr>
      <w:r w:rsidRPr="00112DB6">
        <w:t>14.</w:t>
      </w:r>
      <w:r w:rsidRPr="00112DB6">
        <w:tab/>
        <w:t xml:space="preserve">Glinianaia SV, Morris JK, Best KE, Santoro M, Coi A, Armaroli A, et al. Long-term survival of children born with congenital anomalies: A systematic review and meta-analysis of population-based studies. </w:t>
      </w:r>
      <w:r w:rsidRPr="00112DB6">
        <w:rPr>
          <w:i/>
        </w:rPr>
        <w:t>PLOS Med</w:t>
      </w:r>
      <w:r w:rsidRPr="00112DB6">
        <w:t>. 2020;17(9):e1003356.</w:t>
      </w:r>
    </w:p>
    <w:p w14:paraId="12473D31" w14:textId="67EC840A" w:rsidR="0064507B" w:rsidRPr="00112DB6" w:rsidRDefault="0064507B" w:rsidP="00B71150">
      <w:pPr>
        <w:pStyle w:val="EndNoteBibliography"/>
        <w:spacing w:after="0"/>
        <w:ind w:left="440" w:hanging="440"/>
      </w:pPr>
      <w:r w:rsidRPr="00112DB6">
        <w:t>15.</w:t>
      </w:r>
      <w:r w:rsidRPr="00112DB6">
        <w:tab/>
        <w:t xml:space="preserve">Boyd PA, Haeusler M, Barisic I, Loane M, Garne E, Dolk H. Paper 1: The EUROCAT network - organization and processes. </w:t>
      </w:r>
      <w:r w:rsidR="007A0AF0" w:rsidRPr="00112DB6">
        <w:rPr>
          <w:i/>
        </w:rPr>
        <w:t>Birth Defects Res A Clin Mol Teratol</w:t>
      </w:r>
      <w:r w:rsidR="007A0AF0" w:rsidRPr="00112DB6">
        <w:t xml:space="preserve">. </w:t>
      </w:r>
      <w:r w:rsidRPr="00112DB6">
        <w:t>2011;91</w:t>
      </w:r>
      <w:r w:rsidR="007A0AF0" w:rsidRPr="00112DB6">
        <w:t>(1)</w:t>
      </w:r>
      <w:r w:rsidRPr="00112DB6">
        <w:t>:S2-S15.</w:t>
      </w:r>
    </w:p>
    <w:p w14:paraId="52032909" w14:textId="77777777" w:rsidR="0064507B" w:rsidRPr="00112DB6" w:rsidRDefault="0064507B" w:rsidP="00B71150">
      <w:pPr>
        <w:pStyle w:val="EndNoteBibliography"/>
        <w:spacing w:after="0"/>
        <w:ind w:left="440" w:hanging="440"/>
      </w:pPr>
      <w:r w:rsidRPr="00112DB6">
        <w:t>16.</w:t>
      </w:r>
      <w:r w:rsidRPr="00112DB6">
        <w:tab/>
        <w:t xml:space="preserve">Kinsner-Ovaskainen A, Lanzoni M, Garne E, Loane M, Morris J, Neville A, et al. A sustainable solution for the activities of the European network for surveillance of congenital anomalies: EUROCAT as part of the EU Platform on Rare Diseases Registration. </w:t>
      </w:r>
      <w:r w:rsidRPr="00112DB6">
        <w:rPr>
          <w:i/>
        </w:rPr>
        <w:t>Eur J Med Genet</w:t>
      </w:r>
      <w:r w:rsidRPr="00112DB6">
        <w:t>. 2018;61(9):513-517.</w:t>
      </w:r>
    </w:p>
    <w:p w14:paraId="5E4A2CDD" w14:textId="77777777" w:rsidR="0064507B" w:rsidRPr="00112DB6" w:rsidRDefault="0064507B" w:rsidP="00B71150">
      <w:pPr>
        <w:pStyle w:val="EndNoteBibliography"/>
        <w:spacing w:after="0"/>
        <w:ind w:left="440" w:hanging="440"/>
      </w:pPr>
      <w:r w:rsidRPr="00112DB6">
        <w:t>17.</w:t>
      </w:r>
      <w:r w:rsidRPr="00112DB6">
        <w:tab/>
        <w:t xml:space="preserve">Morris JK, Garne E, Loane M, Barišić I, Densem J, Latos-Bieleńska A, et al. EUROlinkCAT protocol for a European population-based data linkage study investigating the survival, morbidity and education of children with congenital anomalies. </w:t>
      </w:r>
      <w:r w:rsidRPr="00112DB6">
        <w:rPr>
          <w:i/>
        </w:rPr>
        <w:t>BMJ Open</w:t>
      </w:r>
      <w:r w:rsidRPr="00112DB6">
        <w:t>. 2021;11:e047859.</w:t>
      </w:r>
    </w:p>
    <w:p w14:paraId="5EA7F805" w14:textId="77777777" w:rsidR="0064507B" w:rsidRPr="00112DB6" w:rsidRDefault="0064507B" w:rsidP="00B71150">
      <w:pPr>
        <w:pStyle w:val="EndNoteBibliography"/>
        <w:spacing w:after="0"/>
        <w:ind w:left="440" w:hanging="440"/>
      </w:pPr>
      <w:r w:rsidRPr="00112DB6">
        <w:t>18.</w:t>
      </w:r>
      <w:r w:rsidRPr="00112DB6">
        <w:tab/>
        <w:t xml:space="preserve">Loane M, Given JE, Tan J, Reid A, Akhmedzhanova D, Astolfi G, et al. Linking a European cohort of children born with congenital anomalies to vital statistics and mortality records: A EUROlinkCAT study. </w:t>
      </w:r>
      <w:r w:rsidRPr="00112DB6">
        <w:rPr>
          <w:i/>
        </w:rPr>
        <w:t>PLoS ONE</w:t>
      </w:r>
      <w:r w:rsidRPr="00112DB6">
        <w:t>. 2021;16(8):e0256535.</w:t>
      </w:r>
    </w:p>
    <w:p w14:paraId="6CE2BA92" w14:textId="77777777" w:rsidR="0064507B" w:rsidRPr="00112DB6" w:rsidRDefault="0064507B" w:rsidP="00B71150">
      <w:pPr>
        <w:pStyle w:val="EndNoteBibliography"/>
        <w:spacing w:after="0"/>
        <w:ind w:left="440" w:hanging="440"/>
      </w:pPr>
      <w:r w:rsidRPr="00112DB6">
        <w:t>19.</w:t>
      </w:r>
      <w:r w:rsidRPr="00112DB6">
        <w:tab/>
        <w:t xml:space="preserve">Pitt MJ, Morris JK. European trends in mortality in children with congenital anomalies: 2000-2015. </w:t>
      </w:r>
      <w:r w:rsidRPr="00112DB6">
        <w:rPr>
          <w:i/>
        </w:rPr>
        <w:t>Birth Defects Res (Part A)</w:t>
      </w:r>
      <w:r w:rsidRPr="00112DB6">
        <w:t>. 2021;113(12):958-967.</w:t>
      </w:r>
    </w:p>
    <w:p w14:paraId="511C5C50" w14:textId="77777777" w:rsidR="0064507B" w:rsidRPr="00112DB6" w:rsidRDefault="0064507B" w:rsidP="00B71150">
      <w:pPr>
        <w:pStyle w:val="EndNoteBibliography"/>
        <w:spacing w:after="0"/>
        <w:ind w:left="440" w:hanging="440"/>
      </w:pPr>
      <w:r w:rsidRPr="00112DB6">
        <w:t>20.</w:t>
      </w:r>
      <w:r w:rsidRPr="00112DB6">
        <w:tab/>
        <w:t xml:space="preserve">World Health Organization. Congenital malformations, deformations and chromosomal abnormalities (Q00-Q99).  </w:t>
      </w:r>
      <w:r w:rsidRPr="00112DB6">
        <w:rPr>
          <w:i/>
        </w:rPr>
        <w:t>International statistical classification of diseases and related health problems: 10th revision</w:t>
      </w:r>
      <w:r w:rsidRPr="00112DB6">
        <w:t>. Geneva, Switzerland: World Health Organization; 2010.</w:t>
      </w:r>
    </w:p>
    <w:p w14:paraId="480E4AD8" w14:textId="77777777" w:rsidR="0064507B" w:rsidRPr="00112DB6" w:rsidRDefault="0064507B" w:rsidP="00B71150">
      <w:pPr>
        <w:pStyle w:val="EndNoteBibliography"/>
        <w:spacing w:after="0"/>
        <w:ind w:left="440" w:hanging="440"/>
      </w:pPr>
      <w:r w:rsidRPr="00112DB6">
        <w:t>21.</w:t>
      </w:r>
      <w:r w:rsidRPr="00112DB6">
        <w:tab/>
        <w:t xml:space="preserve">EUROCAT. Chapter 3.3: EUROCAT Subgroups of Congenital Anomalies (version 23.09.2016).  </w:t>
      </w:r>
      <w:r w:rsidRPr="00112DB6">
        <w:rPr>
          <w:i/>
        </w:rPr>
        <w:t>EUROCAT Guide 14: Instruction for the registration of congenital anomalies (Last update version 20/12/2016)</w:t>
      </w:r>
      <w:r w:rsidRPr="00112DB6">
        <w:t>. Newtownabbey, UK: EUROCAT Central Registry, University of Ulster; 2013.</w:t>
      </w:r>
    </w:p>
    <w:p w14:paraId="675A1BE1" w14:textId="77777777" w:rsidR="0064507B" w:rsidRPr="00112DB6" w:rsidRDefault="0064507B" w:rsidP="00B71150">
      <w:pPr>
        <w:pStyle w:val="EndNoteBibliography"/>
        <w:spacing w:after="0"/>
        <w:ind w:left="440" w:hanging="440"/>
      </w:pPr>
      <w:r w:rsidRPr="00112DB6">
        <w:t>22.</w:t>
      </w:r>
      <w:r w:rsidRPr="00112DB6">
        <w:tab/>
        <w:t xml:space="preserve">EUROCAT. Chapter 3.2: Minor Anomalies for Exclusion (version 14.10.14).  </w:t>
      </w:r>
      <w:r w:rsidRPr="00112DB6">
        <w:rPr>
          <w:i/>
        </w:rPr>
        <w:t>EUROCAT Guide 14: Instruction for the registration of congenital anomalies (Last update version 20/12/2016)</w:t>
      </w:r>
      <w:r w:rsidRPr="00112DB6">
        <w:t>. Newtownabbey, UK: EUROCAT Central Registry, University of Ulster; 2013.</w:t>
      </w:r>
    </w:p>
    <w:p w14:paraId="06EC77A9" w14:textId="4DEBA90E" w:rsidR="0064507B" w:rsidRPr="00112DB6" w:rsidRDefault="0064507B" w:rsidP="00B71150">
      <w:pPr>
        <w:pStyle w:val="EndNoteBibliography"/>
        <w:spacing w:after="0"/>
        <w:ind w:left="440" w:hanging="440"/>
      </w:pPr>
      <w:r w:rsidRPr="00112DB6">
        <w:t>23.</w:t>
      </w:r>
      <w:r w:rsidRPr="00112DB6">
        <w:tab/>
        <w:t xml:space="preserve">Garne E, Dolk H, Loane M, Wellesley D, Barisic I, Calzolari E, et al. Paper 5: Surveillance of multiple congenital anomalies: implementation of a computer algorithm in European registers for classification of cases. </w:t>
      </w:r>
      <w:r w:rsidR="007A0AF0" w:rsidRPr="00112DB6">
        <w:rPr>
          <w:i/>
        </w:rPr>
        <w:t>Birth Defects Res A Clin Mol Teratol</w:t>
      </w:r>
      <w:r w:rsidR="007A0AF0" w:rsidRPr="00112DB6">
        <w:t xml:space="preserve">. </w:t>
      </w:r>
      <w:r w:rsidRPr="00112DB6">
        <w:t>2011;91</w:t>
      </w:r>
      <w:r w:rsidR="007A0AF0" w:rsidRPr="00112DB6">
        <w:t>(1)</w:t>
      </w:r>
      <w:r w:rsidRPr="00112DB6">
        <w:t>:S44-</w:t>
      </w:r>
      <w:r w:rsidR="000C5B96" w:rsidRPr="00112DB6">
        <w:t>S</w:t>
      </w:r>
      <w:r w:rsidRPr="00112DB6">
        <w:t>50.</w:t>
      </w:r>
    </w:p>
    <w:p w14:paraId="38B7379B" w14:textId="77777777" w:rsidR="0064507B" w:rsidRPr="00112DB6" w:rsidRDefault="0064507B" w:rsidP="00B71150">
      <w:pPr>
        <w:pStyle w:val="EndNoteBibliography"/>
        <w:spacing w:after="0"/>
        <w:ind w:left="440" w:hanging="440"/>
      </w:pPr>
      <w:r w:rsidRPr="00112DB6">
        <w:t>24.</w:t>
      </w:r>
      <w:r w:rsidRPr="00112DB6">
        <w:tab/>
        <w:t xml:space="preserve">EUROCAT. Chapter 3.4: Multiple Congenital Anomaly Algorithm (version 19.11.2014).  </w:t>
      </w:r>
      <w:r w:rsidRPr="00112DB6">
        <w:rPr>
          <w:i/>
        </w:rPr>
        <w:t>EUROCAT Guide 14: Instruction for the registration of congenital anomalies (Last update version 20/12/2016)</w:t>
      </w:r>
      <w:r w:rsidRPr="00112DB6">
        <w:t>. Newtownabbey, UK: EUROCAT Central Registry, University of Ulster; 2013.</w:t>
      </w:r>
    </w:p>
    <w:p w14:paraId="67DD0B66" w14:textId="77777777" w:rsidR="0064507B" w:rsidRPr="00112DB6" w:rsidRDefault="0064507B" w:rsidP="00B71150">
      <w:pPr>
        <w:pStyle w:val="EndNoteBibliography"/>
        <w:spacing w:after="0"/>
        <w:ind w:left="440" w:hanging="440"/>
      </w:pPr>
      <w:r w:rsidRPr="00112DB6">
        <w:t>25.</w:t>
      </w:r>
      <w:r w:rsidRPr="00112DB6">
        <w:tab/>
        <w:t xml:space="preserve">Combescure C, Foucher Y, Jackson D. Meta-analysis of single-arm survival studies: a distribution-free approach for estimating summary survival curves with random effects. </w:t>
      </w:r>
      <w:r w:rsidRPr="00112DB6">
        <w:rPr>
          <w:i/>
        </w:rPr>
        <w:t>Stat Med</w:t>
      </w:r>
      <w:r w:rsidRPr="00112DB6">
        <w:t>. 2014;33(15):2521-2537.</w:t>
      </w:r>
    </w:p>
    <w:p w14:paraId="260B3CF2" w14:textId="77777777" w:rsidR="0064507B" w:rsidRPr="00112DB6" w:rsidRDefault="0064507B" w:rsidP="00B71150">
      <w:pPr>
        <w:pStyle w:val="EndNoteBibliography"/>
        <w:spacing w:after="0"/>
        <w:ind w:left="440" w:hanging="440"/>
      </w:pPr>
      <w:r w:rsidRPr="00112DB6">
        <w:lastRenderedPageBreak/>
        <w:t>26.</w:t>
      </w:r>
      <w:r w:rsidRPr="00112DB6">
        <w:tab/>
        <w:t xml:space="preserve">Jackson D, White IR, Thompson SG. Extending DerSimonian and Laird's methodology to perform multivariate random effects meta-analyses. </w:t>
      </w:r>
      <w:r w:rsidRPr="00112DB6">
        <w:rPr>
          <w:i/>
        </w:rPr>
        <w:t>Stat Med</w:t>
      </w:r>
      <w:r w:rsidRPr="00112DB6">
        <w:t>. 2010;29(12):1282-1297.</w:t>
      </w:r>
    </w:p>
    <w:p w14:paraId="182DD12E" w14:textId="77777777" w:rsidR="0064507B" w:rsidRPr="00112DB6" w:rsidRDefault="0064507B" w:rsidP="00B71150">
      <w:pPr>
        <w:pStyle w:val="EndNoteBibliography"/>
        <w:spacing w:after="0"/>
        <w:ind w:left="440" w:hanging="440"/>
      </w:pPr>
      <w:r w:rsidRPr="00112DB6">
        <w:t>27.</w:t>
      </w:r>
      <w:r w:rsidRPr="00112DB6">
        <w:tab/>
        <w:t xml:space="preserve">Bakker MK, Kancherla V, Canfield MA, Bermejo-Sanchez E, Cragan JD, Dastgiri S, et al. Analysis of Mortality among Neonates and Children with Spina Bifida: An International Registry-Based Study, 2001-2012. </w:t>
      </w:r>
      <w:r w:rsidRPr="00112DB6">
        <w:rPr>
          <w:i/>
        </w:rPr>
        <w:t>Paediatr Perinat Epidemiol</w:t>
      </w:r>
      <w:r w:rsidRPr="00112DB6">
        <w:t>. 2019;33(6):436-448.</w:t>
      </w:r>
    </w:p>
    <w:p w14:paraId="30BE8D35" w14:textId="0452FFA8" w:rsidR="0064507B" w:rsidRPr="00112DB6" w:rsidRDefault="0064507B" w:rsidP="00B71150">
      <w:pPr>
        <w:pStyle w:val="EndNoteBibliography"/>
        <w:spacing w:after="0"/>
        <w:ind w:left="440" w:hanging="440"/>
      </w:pPr>
      <w:r w:rsidRPr="00112DB6">
        <w:t>28.</w:t>
      </w:r>
      <w:r w:rsidRPr="00112DB6">
        <w:tab/>
        <w:t xml:space="preserve">Wang Y, Hu J, Druschel CM, Kirby RS. Twenty-five-year survival of children with birth defects in New York State: a population-based study. </w:t>
      </w:r>
      <w:r w:rsidR="007A0AF0" w:rsidRPr="00112DB6">
        <w:rPr>
          <w:i/>
        </w:rPr>
        <w:t>Birth Defects Res A Clin Mol Teratol</w:t>
      </w:r>
      <w:r w:rsidR="007A0AF0" w:rsidRPr="00112DB6">
        <w:t xml:space="preserve">. </w:t>
      </w:r>
      <w:r w:rsidRPr="00112DB6">
        <w:t>2011;91(12):995-1003.</w:t>
      </w:r>
    </w:p>
    <w:p w14:paraId="193BE646" w14:textId="77777777" w:rsidR="0064507B" w:rsidRPr="00112DB6" w:rsidRDefault="0064507B" w:rsidP="00B71150">
      <w:pPr>
        <w:pStyle w:val="EndNoteBibliography"/>
        <w:spacing w:after="0"/>
        <w:ind w:left="440" w:hanging="440"/>
      </w:pPr>
      <w:r w:rsidRPr="00112DB6">
        <w:t>29.</w:t>
      </w:r>
      <w:r w:rsidRPr="00112DB6">
        <w:tab/>
        <w:t xml:space="preserve">Tennant PW, Pearce MS, Bythell M, Rankin J. 20-year survival of children born with congenital anomalies: a population-based study. </w:t>
      </w:r>
      <w:r w:rsidRPr="00112DB6">
        <w:rPr>
          <w:i/>
        </w:rPr>
        <w:t>Lancet</w:t>
      </w:r>
      <w:r w:rsidRPr="00112DB6">
        <w:t>. 2010;375(9715):649-656.</w:t>
      </w:r>
    </w:p>
    <w:p w14:paraId="29FDD1DD" w14:textId="77777777" w:rsidR="0064507B" w:rsidRPr="00112DB6" w:rsidRDefault="0064507B" w:rsidP="00B71150">
      <w:pPr>
        <w:pStyle w:val="EndNoteBibliography"/>
        <w:spacing w:after="0"/>
        <w:ind w:left="440" w:hanging="440"/>
      </w:pPr>
      <w:r w:rsidRPr="00112DB6">
        <w:t>30.</w:t>
      </w:r>
      <w:r w:rsidRPr="00112DB6">
        <w:tab/>
        <w:t xml:space="preserve">Schneuer FJ, Bell JC, Shand AW, Walker K, Badawi N, Nassar N. Five-year survival of infants with major congenital anomalies: a registry based study. </w:t>
      </w:r>
      <w:r w:rsidRPr="00112DB6">
        <w:rPr>
          <w:i/>
        </w:rPr>
        <w:t>Acta Paediatr</w:t>
      </w:r>
      <w:r w:rsidRPr="00112DB6">
        <w:t>. 2019;108(11):2008-2018.</w:t>
      </w:r>
    </w:p>
    <w:p w14:paraId="0968DB3D" w14:textId="77777777" w:rsidR="0064507B" w:rsidRPr="00112DB6" w:rsidRDefault="0064507B" w:rsidP="00B71150">
      <w:pPr>
        <w:pStyle w:val="EndNoteBibliography"/>
        <w:spacing w:after="0"/>
        <w:ind w:left="440" w:hanging="440"/>
      </w:pPr>
      <w:r w:rsidRPr="00112DB6">
        <w:t>31.</w:t>
      </w:r>
      <w:r w:rsidRPr="00112DB6">
        <w:tab/>
        <w:t xml:space="preserve">Dastgiri S, Gilmour WH, Stone DH. Survival of children born with congenital anomalies. </w:t>
      </w:r>
      <w:r w:rsidRPr="00112DB6">
        <w:rPr>
          <w:i/>
        </w:rPr>
        <w:t>Arch Dis Child</w:t>
      </w:r>
      <w:r w:rsidRPr="00112DB6">
        <w:t>. 2003;88(5):391-394.</w:t>
      </w:r>
    </w:p>
    <w:p w14:paraId="16AF5F5F" w14:textId="61A4403E" w:rsidR="0064507B" w:rsidRPr="00112DB6" w:rsidRDefault="0064507B" w:rsidP="00B71150">
      <w:pPr>
        <w:pStyle w:val="EndNoteBibliography"/>
        <w:spacing w:after="0"/>
        <w:ind w:left="440" w:hanging="440"/>
      </w:pPr>
      <w:r w:rsidRPr="00112DB6">
        <w:t>32.</w:t>
      </w:r>
      <w:r w:rsidRPr="00112DB6">
        <w:tab/>
        <w:t xml:space="preserve">Wang Y, Liu G, Canfield MA, Mai CT, Gilboa SM, Meyer RE, et al. Racial/ethnic differences in survival of United States children with birth defects: A population-based study. </w:t>
      </w:r>
      <w:r w:rsidRPr="00112DB6">
        <w:rPr>
          <w:i/>
        </w:rPr>
        <w:t>J Pediatr</w:t>
      </w:r>
      <w:r w:rsidRPr="00112DB6">
        <w:t>. 2015;166(4):819-826.</w:t>
      </w:r>
    </w:p>
    <w:p w14:paraId="60EA796E" w14:textId="77777777" w:rsidR="0064507B" w:rsidRPr="00112DB6" w:rsidRDefault="0064507B" w:rsidP="00B71150">
      <w:pPr>
        <w:pStyle w:val="EndNoteBibliography"/>
        <w:spacing w:after="0"/>
        <w:ind w:left="440" w:hanging="440"/>
      </w:pPr>
      <w:r w:rsidRPr="00112DB6">
        <w:t>33.</w:t>
      </w:r>
      <w:r w:rsidRPr="00112DB6">
        <w:tab/>
        <w:t xml:space="preserve">Nembhard WN, Salemi JL, Ethen MK, Fixler DE, Dimaggio A, Canfield MA. Racial/Ethnic disparities in risk of early childhood mortality among children with congenital heart defects. </w:t>
      </w:r>
      <w:r w:rsidRPr="00112DB6">
        <w:rPr>
          <w:i/>
        </w:rPr>
        <w:t>Pediatrics</w:t>
      </w:r>
      <w:r w:rsidRPr="00112DB6">
        <w:t>. 2011;127(5):e1128-1138.</w:t>
      </w:r>
    </w:p>
    <w:p w14:paraId="1E415A76" w14:textId="77777777" w:rsidR="0064507B" w:rsidRPr="00112DB6" w:rsidRDefault="0064507B" w:rsidP="00B71150">
      <w:pPr>
        <w:pStyle w:val="EndNoteBibliography"/>
        <w:spacing w:after="0"/>
        <w:ind w:left="440" w:hanging="440"/>
      </w:pPr>
      <w:r w:rsidRPr="00112DB6">
        <w:t>34.</w:t>
      </w:r>
      <w:r w:rsidRPr="00112DB6">
        <w:tab/>
        <w:t xml:space="preserve">Best KE, Rankin J. Long-Term Survival of Individuals Born With Congenital Heart Disease: A Systematic Review and Meta-Analysis. </w:t>
      </w:r>
      <w:r w:rsidRPr="00112DB6">
        <w:rPr>
          <w:i/>
        </w:rPr>
        <w:t>J Am Heart Assoc</w:t>
      </w:r>
      <w:r w:rsidRPr="00112DB6">
        <w:t>. 2016;5(6):e002846.</w:t>
      </w:r>
    </w:p>
    <w:p w14:paraId="4C38311D" w14:textId="77777777" w:rsidR="0064507B" w:rsidRPr="00112DB6" w:rsidRDefault="0064507B" w:rsidP="00B71150">
      <w:pPr>
        <w:pStyle w:val="EndNoteBibliography"/>
        <w:spacing w:after="0"/>
        <w:ind w:left="440" w:hanging="440"/>
      </w:pPr>
      <w:r w:rsidRPr="00112DB6">
        <w:t>35.</w:t>
      </w:r>
      <w:r w:rsidRPr="00112DB6">
        <w:tab/>
        <w:t>EUROSTAT. Fetal, peri- and neonatal mortality rates by country of occurrence, 2011-2015. Available at: https://appsso.eurostat.ec.europa.eu/nui/show.do?dataset=hlth_cd_aperrto&amp;lang=en. Updated 12-04-2021. Accessed 21 April 2021.</w:t>
      </w:r>
    </w:p>
    <w:p w14:paraId="22C113FB" w14:textId="77777777" w:rsidR="0064507B" w:rsidRPr="00112DB6" w:rsidRDefault="0064507B" w:rsidP="00B71150">
      <w:pPr>
        <w:pStyle w:val="EndNoteBibliography"/>
        <w:spacing w:after="0"/>
        <w:ind w:left="440" w:hanging="440"/>
      </w:pPr>
      <w:r w:rsidRPr="00112DB6">
        <w:t>36.</w:t>
      </w:r>
      <w:r w:rsidRPr="00112DB6">
        <w:tab/>
        <w:t>EUROSTAT. Infant mortality halved between 1998 and 2018. Available at: https://ec.europa.eu/eurostat/web/products-eurostat-news/-/DDN-20200309-1#:~:text=In%20the%20EU%20in%202018,per%201%20000%20live%20births. Published 2020. Accessed 22 April 2021.</w:t>
      </w:r>
    </w:p>
    <w:p w14:paraId="642853FB" w14:textId="77777777" w:rsidR="0064507B" w:rsidRPr="00112DB6" w:rsidRDefault="0064507B" w:rsidP="00B71150">
      <w:pPr>
        <w:pStyle w:val="EndNoteBibliography"/>
        <w:spacing w:after="0"/>
        <w:ind w:left="440" w:hanging="440"/>
      </w:pPr>
      <w:r w:rsidRPr="00112DB6">
        <w:t>37.</w:t>
      </w:r>
      <w:r w:rsidRPr="00112DB6">
        <w:tab/>
        <w:t>You D, Hug L, Chen Y, United Nations Inter-agency Group for Child Mortality Estimation (UN IGME). Levels and trends in child mortality. Report 2014: United Nations Children’s Fund (UNICEF); 2014.</w:t>
      </w:r>
    </w:p>
    <w:p w14:paraId="7A2AAF2E" w14:textId="77777777" w:rsidR="0064507B" w:rsidRPr="00112DB6" w:rsidRDefault="0064507B" w:rsidP="00B71150">
      <w:pPr>
        <w:pStyle w:val="EndNoteBibliography"/>
        <w:spacing w:after="0"/>
        <w:ind w:left="440" w:hanging="440"/>
      </w:pPr>
      <w:r w:rsidRPr="00112DB6">
        <w:t>38.</w:t>
      </w:r>
      <w:r w:rsidRPr="00112DB6">
        <w:tab/>
        <w:t xml:space="preserve">Halliday J, Collins V, Riley M, Youssef D, Muggli E. Has prenatal screening influenced the prevalence of comorbidities associated with Down syndrome and subsequent survival rates? </w:t>
      </w:r>
      <w:r w:rsidRPr="00112DB6">
        <w:rPr>
          <w:i/>
        </w:rPr>
        <w:t>Pediatrics</w:t>
      </w:r>
      <w:r w:rsidRPr="00112DB6">
        <w:t>. 2009;123(1):256-261.</w:t>
      </w:r>
    </w:p>
    <w:p w14:paraId="528F603C" w14:textId="77777777" w:rsidR="0064507B" w:rsidRPr="00112DB6" w:rsidRDefault="0064507B" w:rsidP="00B71150">
      <w:pPr>
        <w:pStyle w:val="EndNoteBibliography"/>
        <w:spacing w:after="0"/>
        <w:ind w:left="440" w:hanging="440"/>
      </w:pPr>
      <w:r w:rsidRPr="00112DB6">
        <w:t>39.</w:t>
      </w:r>
      <w:r w:rsidRPr="00112DB6">
        <w:tab/>
        <w:t xml:space="preserve">Kucik JE, Shin M, Siffel C, Marengo L, Correa A. Trends in survival among children with down syndrome in 10 regions of the united states. </w:t>
      </w:r>
      <w:r w:rsidRPr="00112DB6">
        <w:rPr>
          <w:i/>
        </w:rPr>
        <w:t>Pediatrics</w:t>
      </w:r>
      <w:r w:rsidRPr="00112DB6">
        <w:t>. 2013;131(1):e27-e36.</w:t>
      </w:r>
    </w:p>
    <w:p w14:paraId="616BC69F" w14:textId="77777777" w:rsidR="0064507B" w:rsidRPr="00112DB6" w:rsidRDefault="0064507B" w:rsidP="00B71150">
      <w:pPr>
        <w:pStyle w:val="EndNoteBibliography"/>
        <w:spacing w:after="0"/>
        <w:ind w:left="440" w:hanging="440"/>
      </w:pPr>
      <w:r w:rsidRPr="00112DB6">
        <w:t>40.</w:t>
      </w:r>
      <w:r w:rsidRPr="00112DB6">
        <w:tab/>
        <w:t xml:space="preserve">Rankin J, Tennant PW, Bythell M, Pearce MS. Predictors of survival in children born with Down syndrome: a registry-based study. </w:t>
      </w:r>
      <w:r w:rsidRPr="00112DB6">
        <w:rPr>
          <w:i/>
        </w:rPr>
        <w:t>Pediatrics</w:t>
      </w:r>
      <w:r w:rsidRPr="00112DB6">
        <w:t>. 2012;129(6):e1373-1381.</w:t>
      </w:r>
    </w:p>
    <w:p w14:paraId="7EAFA005" w14:textId="77777777" w:rsidR="0064507B" w:rsidRPr="00112DB6" w:rsidRDefault="0064507B" w:rsidP="00B71150">
      <w:pPr>
        <w:pStyle w:val="EndNoteBibliography"/>
        <w:spacing w:after="0"/>
        <w:ind w:left="440" w:hanging="440"/>
      </w:pPr>
      <w:r w:rsidRPr="00112DB6">
        <w:lastRenderedPageBreak/>
        <w:t>41.</w:t>
      </w:r>
      <w:r w:rsidRPr="00112DB6">
        <w:tab/>
        <w:t xml:space="preserve">Brodwall K, Greve G, Leirgul E, Klungsøyr K, Holmstrøm H, Vollset SE, et al. The five-year survival of children with Down syndrome in Norway 1994–2009 differed by associated congenital heart defects and extracardiac malformations. </w:t>
      </w:r>
      <w:r w:rsidRPr="00112DB6">
        <w:rPr>
          <w:i/>
        </w:rPr>
        <w:t>Acta Paediatr</w:t>
      </w:r>
      <w:r w:rsidRPr="00112DB6">
        <w:t>. 2018;107(5):845-853.</w:t>
      </w:r>
    </w:p>
    <w:p w14:paraId="329ACCFD" w14:textId="77777777" w:rsidR="0064507B" w:rsidRPr="00112DB6" w:rsidRDefault="0064507B" w:rsidP="00B71150">
      <w:pPr>
        <w:pStyle w:val="EndNoteBibliography"/>
        <w:spacing w:after="0"/>
        <w:ind w:left="440" w:hanging="440"/>
      </w:pPr>
      <w:r w:rsidRPr="00112DB6">
        <w:t>42.</w:t>
      </w:r>
      <w:r w:rsidRPr="00112DB6">
        <w:tab/>
        <w:t xml:space="preserve">Glasson EJ, Jacques A, Wong K, Bourke J, Leonard H. Improved Survival in Down Syndrome over the Last 60 Years and the Impact of Perinatal Factors in Recent Decades. </w:t>
      </w:r>
      <w:r w:rsidRPr="00112DB6">
        <w:rPr>
          <w:i/>
        </w:rPr>
        <w:t>J Pediatr</w:t>
      </w:r>
      <w:r w:rsidRPr="00112DB6">
        <w:t>. 2016;169:214-220.</w:t>
      </w:r>
    </w:p>
    <w:p w14:paraId="77B6D269" w14:textId="77777777" w:rsidR="0064507B" w:rsidRPr="00112DB6" w:rsidRDefault="0064507B" w:rsidP="00B71150">
      <w:pPr>
        <w:pStyle w:val="EndNoteBibliography"/>
        <w:spacing w:after="0"/>
        <w:ind w:left="440" w:hanging="440"/>
      </w:pPr>
      <w:r w:rsidRPr="00112DB6">
        <w:t>43.</w:t>
      </w:r>
      <w:r w:rsidRPr="00112DB6">
        <w:tab/>
        <w:t xml:space="preserve">Chua GT, Tung KTS, Wong ICK, Lum TYS, Wong WHS, Chow CB, et al. Mortality Among Children with Down syndrome in Hong Kong: A Population-Based Cohort Study from Birth. </w:t>
      </w:r>
      <w:r w:rsidRPr="00112DB6">
        <w:rPr>
          <w:i/>
        </w:rPr>
        <w:t>J Pediatr</w:t>
      </w:r>
      <w:r w:rsidRPr="00112DB6">
        <w:t>. 2020;218:138-145.</w:t>
      </w:r>
    </w:p>
    <w:p w14:paraId="3BB2F171" w14:textId="77777777" w:rsidR="0064507B" w:rsidRPr="00112DB6" w:rsidRDefault="0064507B" w:rsidP="00B71150">
      <w:pPr>
        <w:pStyle w:val="EndNoteBibliography"/>
        <w:spacing w:after="0"/>
        <w:ind w:left="440" w:hanging="440"/>
      </w:pPr>
      <w:r w:rsidRPr="00112DB6">
        <w:t>44.</w:t>
      </w:r>
      <w:r w:rsidRPr="00112DB6">
        <w:tab/>
        <w:t xml:space="preserve">Morris JK, Rankin J, Garne E, Loane M, Greenlees R, Addor MC, et al. Prevalence of microcephaly in Europe: population based study. </w:t>
      </w:r>
      <w:r w:rsidRPr="00112DB6">
        <w:rPr>
          <w:i/>
        </w:rPr>
        <w:t>BMJ</w:t>
      </w:r>
      <w:r w:rsidRPr="00112DB6">
        <w:t>. 2016;354:i4721.</w:t>
      </w:r>
    </w:p>
    <w:p w14:paraId="5AE55A16" w14:textId="77777777" w:rsidR="0064507B" w:rsidRPr="00112DB6" w:rsidRDefault="0064507B" w:rsidP="00B71150">
      <w:pPr>
        <w:pStyle w:val="EndNoteBibliography"/>
        <w:spacing w:after="0"/>
        <w:ind w:left="440" w:hanging="440"/>
      </w:pPr>
      <w:r w:rsidRPr="00112DB6">
        <w:t>45.</w:t>
      </w:r>
      <w:r w:rsidRPr="00112DB6">
        <w:tab/>
        <w:t xml:space="preserve">EUROCAT. Chapter 3.6: EUROCAT Description of the Congenital Anomaly Subgroups (version 19.11.2014).  </w:t>
      </w:r>
      <w:r w:rsidRPr="00112DB6">
        <w:rPr>
          <w:i/>
        </w:rPr>
        <w:t>EUROCAT Guide 14: Instruction for the registration of congenital anomalies (Last update version 20/12/2016)</w:t>
      </w:r>
      <w:r w:rsidRPr="00112DB6">
        <w:t>. Newtownabbey, UK: EUROCAT Central Registry, University of Ulster; 2013.</w:t>
      </w:r>
    </w:p>
    <w:p w14:paraId="2BBDD642" w14:textId="77777777" w:rsidR="0064507B" w:rsidRPr="00112DB6" w:rsidRDefault="0064507B" w:rsidP="00B71150">
      <w:pPr>
        <w:pStyle w:val="EndNoteBibliography"/>
        <w:spacing w:after="0"/>
        <w:ind w:left="440" w:hanging="440"/>
      </w:pPr>
      <w:r w:rsidRPr="00112DB6">
        <w:t>46.</w:t>
      </w:r>
      <w:r w:rsidRPr="00112DB6">
        <w:tab/>
        <w:t xml:space="preserve">Hautala J, Gissler M, Ritvanen  A, Tekay  A, Pitkänen-Argillander O, Stefanovic V, et al. The implementation of a nationwide anomaly screening programme improves prenatal detection of major cardiac defects: an 11-year national population-based cohort study. </w:t>
      </w:r>
      <w:r w:rsidRPr="00112DB6">
        <w:rPr>
          <w:i/>
        </w:rPr>
        <w:t>BJOG</w:t>
      </w:r>
      <w:r w:rsidRPr="00112DB6">
        <w:t>. 2019;126(7):864-873.</w:t>
      </w:r>
    </w:p>
    <w:p w14:paraId="2CD17AC5" w14:textId="77777777" w:rsidR="0064507B" w:rsidRPr="00112DB6" w:rsidRDefault="0064507B" w:rsidP="00B71150">
      <w:pPr>
        <w:pStyle w:val="EndNoteBibliography"/>
        <w:ind w:left="440" w:hanging="440"/>
      </w:pPr>
      <w:r w:rsidRPr="00112DB6">
        <w:t>47.</w:t>
      </w:r>
      <w:r w:rsidRPr="00112DB6">
        <w:tab/>
        <w:t xml:space="preserve">Tworetzky W, McElhinney DB, Reddy VM, Brook MM, Hanley FL, Silverman NH. Improved surgical outcome after fetal diagnosis of hypoplastic left heart syndrome. </w:t>
      </w:r>
      <w:r w:rsidRPr="00112DB6">
        <w:rPr>
          <w:i/>
        </w:rPr>
        <w:t>Circulation</w:t>
      </w:r>
      <w:r w:rsidRPr="00112DB6">
        <w:t>. 2001;103(9):1269-1273.</w:t>
      </w:r>
    </w:p>
    <w:p w14:paraId="7B5F9468" w14:textId="77777777" w:rsidR="0064507B" w:rsidRPr="00112DB6" w:rsidRDefault="0064507B" w:rsidP="00BA55DA">
      <w:pPr>
        <w:spacing w:before="0" w:after="0" w:line="240" w:lineRule="auto"/>
        <w:rPr>
          <w:lang w:val="en-US"/>
        </w:rPr>
      </w:pPr>
    </w:p>
    <w:bookmarkEnd w:id="2"/>
    <w:p w14:paraId="1CCD4681" w14:textId="77777777" w:rsidR="0064507B" w:rsidRPr="00112DB6" w:rsidRDefault="0064507B" w:rsidP="009E51EE">
      <w:pPr>
        <w:pStyle w:val="Heading1"/>
        <w:rPr>
          <w:rFonts w:cs="Times New Roman"/>
          <w:szCs w:val="24"/>
          <w:lang w:val="en-US"/>
        </w:rPr>
      </w:pPr>
      <w:r w:rsidRPr="00112DB6">
        <w:rPr>
          <w:rFonts w:cs="Times New Roman"/>
          <w:szCs w:val="24"/>
          <w:lang w:val="en-US"/>
        </w:rPr>
        <w:lastRenderedPageBreak/>
        <w:t>TABLE 1</w:t>
      </w:r>
      <w:r w:rsidRPr="00112DB6">
        <w:rPr>
          <w:rFonts w:cs="Times New Roman"/>
          <w:sz w:val="28"/>
          <w:szCs w:val="28"/>
          <w:lang w:val="en-US"/>
        </w:rPr>
        <w:t xml:space="preserve"> </w:t>
      </w:r>
      <w:r w:rsidRPr="00112DB6">
        <w:rPr>
          <w:rFonts w:cs="Times New Roman"/>
          <w:b w:val="0"/>
          <w:bCs/>
          <w:szCs w:val="24"/>
          <w:lang w:val="en-US"/>
        </w:rPr>
        <w:t xml:space="preserve">Contributing EUROCAT registries (listed by mortality source), birth years and population covered, number of all live births with </w:t>
      </w:r>
      <w:bookmarkStart w:id="16" w:name="_Hlk73537779"/>
      <w:r w:rsidRPr="00112DB6">
        <w:rPr>
          <w:rFonts w:cs="Times New Roman"/>
          <w:b w:val="0"/>
          <w:bCs/>
          <w:szCs w:val="24"/>
          <w:lang w:val="en-US"/>
        </w:rPr>
        <w:t>congenital anomalies (CAs) available for analysis and live birth prevalence of all CA cases (per 10 000 live births)</w:t>
      </w:r>
      <w:r w:rsidRPr="00112DB6">
        <w:rPr>
          <w:rFonts w:cs="Times New Roman"/>
          <w:b w:val="0"/>
          <w:bCs/>
          <w:szCs w:val="24"/>
          <w:vertAlign w:val="superscript"/>
          <w:lang w:val="en-US"/>
        </w:rPr>
        <w:t>a</w:t>
      </w:r>
    </w:p>
    <w:tbl>
      <w:tblPr>
        <w:tblW w:w="9781" w:type="dxa"/>
        <w:tblLayout w:type="fixed"/>
        <w:tblCellMar>
          <w:left w:w="0" w:type="dxa"/>
          <w:right w:w="0" w:type="dxa"/>
        </w:tblCellMar>
        <w:tblLook w:val="04A0" w:firstRow="1" w:lastRow="0" w:firstColumn="1" w:lastColumn="0" w:noHBand="0" w:noVBand="1"/>
      </w:tblPr>
      <w:tblGrid>
        <w:gridCol w:w="2552"/>
        <w:gridCol w:w="1559"/>
        <w:gridCol w:w="1559"/>
        <w:gridCol w:w="1985"/>
        <w:gridCol w:w="2126"/>
      </w:tblGrid>
      <w:tr w:rsidR="0064507B" w:rsidRPr="00112DB6" w14:paraId="2C3CAC9B" w14:textId="77777777" w:rsidTr="001B3D75">
        <w:trPr>
          <w:trHeight w:val="703"/>
        </w:trPr>
        <w:tc>
          <w:tcPr>
            <w:tcW w:w="2552"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0A168BEC" w14:textId="77777777" w:rsidR="0064507B" w:rsidRPr="00112DB6" w:rsidRDefault="0064507B" w:rsidP="009E51EE">
            <w:pPr>
              <w:spacing w:before="0" w:after="0" w:line="240" w:lineRule="auto"/>
              <w:rPr>
                <w:rFonts w:cs="Times New Roman"/>
                <w:b/>
                <w:sz w:val="22"/>
                <w:lang w:val="en-US"/>
              </w:rPr>
            </w:pPr>
            <w:r w:rsidRPr="00112DB6">
              <w:rPr>
                <w:rFonts w:cs="Times New Roman"/>
                <w:b/>
                <w:bCs/>
                <w:sz w:val="22"/>
                <w:lang w:val="en-US"/>
              </w:rPr>
              <w:t>Participating population-based registries</w:t>
            </w:r>
          </w:p>
        </w:tc>
        <w:tc>
          <w:tcPr>
            <w:tcW w:w="1559"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1E029409" w14:textId="77777777" w:rsidR="0064507B" w:rsidRPr="00112DB6" w:rsidRDefault="0064507B" w:rsidP="009E51EE">
            <w:pPr>
              <w:spacing w:before="0" w:after="0" w:line="240" w:lineRule="auto"/>
              <w:jc w:val="center"/>
              <w:rPr>
                <w:rFonts w:cs="Times New Roman"/>
                <w:b/>
                <w:sz w:val="22"/>
                <w:lang w:val="en-US"/>
              </w:rPr>
            </w:pPr>
            <w:r w:rsidRPr="00112DB6">
              <w:rPr>
                <w:rFonts w:cs="Times New Roman"/>
                <w:b/>
                <w:sz w:val="22"/>
                <w:lang w:val="en-US"/>
              </w:rPr>
              <w:t>Included birth years</w:t>
            </w:r>
          </w:p>
        </w:tc>
        <w:tc>
          <w:tcPr>
            <w:tcW w:w="1559" w:type="dxa"/>
            <w:tcBorders>
              <w:top w:val="single" w:sz="4" w:space="0" w:color="auto"/>
              <w:bottom w:val="single" w:sz="4" w:space="0" w:color="auto"/>
            </w:tcBorders>
            <w:shd w:val="clear" w:color="auto" w:fill="auto"/>
            <w:vAlign w:val="bottom"/>
          </w:tcPr>
          <w:p w14:paraId="63F5D2B1" w14:textId="77777777" w:rsidR="0064507B" w:rsidRPr="00112DB6" w:rsidRDefault="0064507B" w:rsidP="00D14C7D">
            <w:pPr>
              <w:spacing w:before="0" w:after="0" w:line="240" w:lineRule="auto"/>
              <w:jc w:val="center"/>
              <w:rPr>
                <w:rFonts w:cs="Times New Roman"/>
                <w:b/>
                <w:bCs/>
                <w:sz w:val="22"/>
                <w:lang w:val="en-US"/>
              </w:rPr>
            </w:pPr>
            <w:r w:rsidRPr="00112DB6">
              <w:rPr>
                <w:rFonts w:cs="Times New Roman"/>
                <w:b/>
                <w:bCs/>
                <w:sz w:val="22"/>
                <w:lang w:val="en-US"/>
              </w:rPr>
              <w:t xml:space="preserve">Birth population </w:t>
            </w:r>
            <w:proofErr w:type="spellStart"/>
            <w:r w:rsidRPr="00112DB6">
              <w:rPr>
                <w:rFonts w:cs="Times New Roman"/>
                <w:b/>
                <w:bCs/>
                <w:sz w:val="22"/>
                <w:lang w:val="en-US"/>
              </w:rPr>
              <w:t>covered</w:t>
            </w:r>
            <w:r w:rsidRPr="00112DB6">
              <w:rPr>
                <w:rFonts w:cs="Times New Roman"/>
                <w:b/>
                <w:bCs/>
                <w:sz w:val="22"/>
                <w:vertAlign w:val="superscript"/>
                <w:lang w:val="en-US"/>
              </w:rPr>
              <w:t>a</w:t>
            </w:r>
            <w:proofErr w:type="spellEnd"/>
          </w:p>
        </w:tc>
        <w:tc>
          <w:tcPr>
            <w:tcW w:w="1985" w:type="dxa"/>
            <w:tcBorders>
              <w:top w:val="single" w:sz="4" w:space="0" w:color="auto"/>
              <w:bottom w:val="single" w:sz="4" w:space="0" w:color="auto"/>
            </w:tcBorders>
            <w:shd w:val="clear" w:color="auto" w:fill="auto"/>
            <w:vAlign w:val="bottom"/>
          </w:tcPr>
          <w:p w14:paraId="68A0BDB2"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 w:val="22"/>
                <w:lang w:val="en-US"/>
              </w:rPr>
              <w:t>Number of all live births with CAs available for analysis</w:t>
            </w:r>
          </w:p>
        </w:tc>
        <w:tc>
          <w:tcPr>
            <w:tcW w:w="2126" w:type="dxa"/>
            <w:tcBorders>
              <w:top w:val="single" w:sz="4" w:space="0" w:color="auto"/>
              <w:bottom w:val="single" w:sz="4" w:space="0" w:color="auto"/>
            </w:tcBorders>
            <w:vAlign w:val="bottom"/>
          </w:tcPr>
          <w:p w14:paraId="799A36FE" w14:textId="713CA37E" w:rsidR="0064507B" w:rsidRPr="00112DB6" w:rsidRDefault="0064507B" w:rsidP="00D14C7D">
            <w:pPr>
              <w:spacing w:before="0" w:after="0" w:line="240" w:lineRule="auto"/>
              <w:jc w:val="center"/>
              <w:rPr>
                <w:rFonts w:cs="Times New Roman"/>
                <w:b/>
                <w:bCs/>
                <w:sz w:val="22"/>
                <w:lang w:val="en-US"/>
              </w:rPr>
            </w:pPr>
            <w:r w:rsidRPr="00112DB6">
              <w:rPr>
                <w:rFonts w:eastAsia="Times New Roman" w:cstheme="minorHAnsi"/>
                <w:b/>
                <w:bCs/>
                <w:color w:val="000000"/>
                <w:sz w:val="22"/>
                <w:szCs w:val="20"/>
                <w:lang w:val="en-US" w:eastAsia="it-IT"/>
              </w:rPr>
              <w:t>Live birth prevalence of all CAs per 10 000 live births</w:t>
            </w:r>
            <w:r w:rsidR="002A670F">
              <w:rPr>
                <w:rFonts w:eastAsia="Times New Roman" w:cstheme="minorHAnsi"/>
                <w:b/>
                <w:bCs/>
                <w:color w:val="000000"/>
                <w:sz w:val="22"/>
                <w:szCs w:val="20"/>
                <w:lang w:val="en-US" w:eastAsia="it-IT"/>
              </w:rPr>
              <w:t xml:space="preserve"> </w:t>
            </w:r>
            <w:r w:rsidR="002A670F" w:rsidRPr="002A670F">
              <w:rPr>
                <w:rFonts w:eastAsia="Times New Roman" w:cstheme="minorHAnsi"/>
                <w:b/>
                <w:bCs/>
                <w:color w:val="000000"/>
                <w:sz w:val="22"/>
                <w:szCs w:val="20"/>
                <w:highlight w:val="yellow"/>
                <w:lang w:val="en-US" w:eastAsia="it-IT"/>
              </w:rPr>
              <w:t>(95% CI)</w:t>
            </w:r>
            <w:r w:rsidRPr="00112DB6">
              <w:rPr>
                <w:rFonts w:eastAsia="Times New Roman" w:cstheme="minorHAnsi"/>
                <w:b/>
                <w:bCs/>
                <w:color w:val="000000"/>
                <w:sz w:val="22"/>
                <w:szCs w:val="20"/>
                <w:vertAlign w:val="superscript"/>
                <w:lang w:val="en-US" w:eastAsia="it-IT"/>
              </w:rPr>
              <w:t>a</w:t>
            </w:r>
          </w:p>
        </w:tc>
      </w:tr>
      <w:tr w:rsidR="0064507B" w:rsidRPr="00112DB6" w14:paraId="05356E7C" w14:textId="77777777" w:rsidTr="001B3D75">
        <w:trPr>
          <w:trHeight w:val="293"/>
        </w:trPr>
        <w:tc>
          <w:tcPr>
            <w:tcW w:w="5670" w:type="dxa"/>
            <w:gridSpan w:val="3"/>
            <w:tcBorders>
              <w:top w:val="single" w:sz="4" w:space="0" w:color="auto"/>
            </w:tcBorders>
            <w:shd w:val="clear" w:color="auto" w:fill="auto"/>
            <w:tcMar>
              <w:top w:w="15" w:type="dxa"/>
              <w:left w:w="101" w:type="dxa"/>
              <w:bottom w:w="0" w:type="dxa"/>
              <w:right w:w="101" w:type="dxa"/>
            </w:tcMar>
            <w:vAlign w:val="bottom"/>
          </w:tcPr>
          <w:p w14:paraId="2EB67360" w14:textId="77777777" w:rsidR="0064507B" w:rsidRPr="00112DB6" w:rsidRDefault="0064507B" w:rsidP="009E51EE">
            <w:pPr>
              <w:spacing w:before="0" w:after="0" w:line="240" w:lineRule="auto"/>
              <w:rPr>
                <w:rFonts w:cs="Times New Roman"/>
                <w:sz w:val="22"/>
                <w:lang w:val="en-US"/>
              </w:rPr>
            </w:pPr>
            <w:r w:rsidRPr="00112DB6">
              <w:rPr>
                <w:rFonts w:cs="Times New Roman"/>
                <w:b/>
                <w:i/>
                <w:sz w:val="22"/>
                <w:lang w:val="en-US"/>
              </w:rPr>
              <w:t xml:space="preserve">Registries which linked to national/vital </w:t>
            </w:r>
            <w:proofErr w:type="spellStart"/>
            <w:r w:rsidRPr="00112DB6">
              <w:rPr>
                <w:rFonts w:cs="Times New Roman"/>
                <w:b/>
                <w:i/>
                <w:sz w:val="22"/>
                <w:lang w:val="en-US"/>
              </w:rPr>
              <w:t>statistics</w:t>
            </w:r>
            <w:r w:rsidRPr="00112DB6">
              <w:rPr>
                <w:rFonts w:cs="Times New Roman"/>
                <w:b/>
                <w:i/>
                <w:sz w:val="22"/>
                <w:vertAlign w:val="superscript"/>
                <w:lang w:val="en-US"/>
              </w:rPr>
              <w:t>b</w:t>
            </w:r>
            <w:proofErr w:type="spellEnd"/>
          </w:p>
        </w:tc>
        <w:tc>
          <w:tcPr>
            <w:tcW w:w="1985" w:type="dxa"/>
            <w:tcBorders>
              <w:top w:val="single" w:sz="4" w:space="0" w:color="auto"/>
            </w:tcBorders>
            <w:shd w:val="clear" w:color="auto" w:fill="auto"/>
            <w:vAlign w:val="bottom"/>
          </w:tcPr>
          <w:p w14:paraId="28750524" w14:textId="77777777" w:rsidR="0064507B" w:rsidRPr="00112DB6" w:rsidRDefault="0064507B" w:rsidP="009E51EE">
            <w:pPr>
              <w:spacing w:before="0" w:after="0" w:line="240" w:lineRule="auto"/>
              <w:jc w:val="center"/>
              <w:rPr>
                <w:rFonts w:cs="Times New Roman"/>
                <w:sz w:val="22"/>
                <w:lang w:val="en-US"/>
              </w:rPr>
            </w:pPr>
          </w:p>
        </w:tc>
        <w:tc>
          <w:tcPr>
            <w:tcW w:w="2126" w:type="dxa"/>
            <w:tcBorders>
              <w:top w:val="single" w:sz="4" w:space="0" w:color="auto"/>
            </w:tcBorders>
            <w:vAlign w:val="bottom"/>
          </w:tcPr>
          <w:p w14:paraId="2C52F2B2" w14:textId="77777777" w:rsidR="0064507B" w:rsidRPr="00112DB6" w:rsidRDefault="0064507B" w:rsidP="009E51EE">
            <w:pPr>
              <w:spacing w:before="0" w:after="0" w:line="240" w:lineRule="auto"/>
              <w:jc w:val="center"/>
              <w:rPr>
                <w:rFonts w:cs="Times New Roman"/>
                <w:sz w:val="22"/>
                <w:lang w:val="en-US"/>
              </w:rPr>
            </w:pPr>
          </w:p>
        </w:tc>
      </w:tr>
      <w:tr w:rsidR="0064507B" w:rsidRPr="00112DB6" w14:paraId="63E13114" w14:textId="77777777" w:rsidTr="001B3D75">
        <w:trPr>
          <w:trHeight w:val="293"/>
        </w:trPr>
        <w:tc>
          <w:tcPr>
            <w:tcW w:w="2552" w:type="dxa"/>
            <w:tcBorders>
              <w:top w:val="single" w:sz="4" w:space="0" w:color="auto"/>
            </w:tcBorders>
            <w:shd w:val="clear" w:color="auto" w:fill="auto"/>
            <w:tcMar>
              <w:top w:w="15" w:type="dxa"/>
              <w:left w:w="101" w:type="dxa"/>
              <w:bottom w:w="0" w:type="dxa"/>
              <w:right w:w="101" w:type="dxa"/>
            </w:tcMar>
            <w:vAlign w:val="bottom"/>
          </w:tcPr>
          <w:p w14:paraId="6DDC3A06"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Denmark: </w:t>
            </w:r>
            <w:proofErr w:type="spellStart"/>
            <w:r w:rsidRPr="00112DB6">
              <w:rPr>
                <w:rFonts w:eastAsia="Times New Roman" w:cs="Times New Roman"/>
                <w:color w:val="000000"/>
                <w:sz w:val="22"/>
                <w:lang w:val="en-US" w:eastAsia="en-GB"/>
              </w:rPr>
              <w:t>Funen</w:t>
            </w:r>
            <w:r w:rsidRPr="00112DB6">
              <w:rPr>
                <w:rFonts w:eastAsia="Times New Roman" w:cs="Times New Roman"/>
                <w:color w:val="000000"/>
                <w:sz w:val="22"/>
                <w:vertAlign w:val="superscript"/>
                <w:lang w:val="en-US" w:eastAsia="en-GB"/>
              </w:rPr>
              <w:t>c</w:t>
            </w:r>
            <w:proofErr w:type="spellEnd"/>
          </w:p>
        </w:tc>
        <w:tc>
          <w:tcPr>
            <w:tcW w:w="1559" w:type="dxa"/>
            <w:tcBorders>
              <w:top w:val="single" w:sz="4" w:space="0" w:color="auto"/>
            </w:tcBorders>
            <w:shd w:val="clear" w:color="auto" w:fill="auto"/>
            <w:tcMar>
              <w:top w:w="15" w:type="dxa"/>
              <w:left w:w="101" w:type="dxa"/>
              <w:bottom w:w="0" w:type="dxa"/>
              <w:right w:w="101" w:type="dxa"/>
            </w:tcMar>
            <w:vAlign w:val="bottom"/>
          </w:tcPr>
          <w:p w14:paraId="34AAF41D"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tcBorders>
              <w:top w:val="single" w:sz="4" w:space="0" w:color="auto"/>
            </w:tcBorders>
            <w:shd w:val="clear" w:color="auto" w:fill="auto"/>
            <w:vAlign w:val="bottom"/>
          </w:tcPr>
          <w:p w14:paraId="1D63C0CC" w14:textId="77777777" w:rsidR="0064507B" w:rsidRPr="00112DB6" w:rsidRDefault="0064507B" w:rsidP="009E51EE">
            <w:pPr>
              <w:spacing w:before="0" w:after="0" w:line="240" w:lineRule="auto"/>
              <w:jc w:val="center"/>
              <w:rPr>
                <w:rFonts w:cs="Times New Roman"/>
                <w:color w:val="000000"/>
                <w:sz w:val="22"/>
                <w:lang w:val="en-US"/>
              </w:rPr>
            </w:pPr>
            <w:r w:rsidRPr="00112DB6">
              <w:rPr>
                <w:rFonts w:cs="Times New Roman"/>
                <w:color w:val="000000"/>
                <w:sz w:val="22"/>
                <w:lang w:val="en-US"/>
              </w:rPr>
              <w:t>50 093</w:t>
            </w:r>
          </w:p>
        </w:tc>
        <w:tc>
          <w:tcPr>
            <w:tcW w:w="1985" w:type="dxa"/>
            <w:tcBorders>
              <w:top w:val="single" w:sz="4" w:space="0" w:color="auto"/>
            </w:tcBorders>
            <w:shd w:val="clear" w:color="auto" w:fill="auto"/>
            <w:vAlign w:val="bottom"/>
          </w:tcPr>
          <w:p w14:paraId="16E817CC" w14:textId="77777777" w:rsidR="0064507B" w:rsidRPr="00112DB6" w:rsidRDefault="0064507B" w:rsidP="009E51EE">
            <w:pPr>
              <w:spacing w:before="0" w:after="0" w:line="240" w:lineRule="auto"/>
              <w:jc w:val="center"/>
              <w:rPr>
                <w:rFonts w:cs="Times New Roman"/>
                <w:color w:val="000000" w:themeColor="text1"/>
                <w:sz w:val="22"/>
                <w:lang w:val="en-US"/>
              </w:rPr>
            </w:pPr>
            <w:r w:rsidRPr="00112DB6">
              <w:rPr>
                <w:rFonts w:cs="Times New Roman"/>
                <w:color w:val="000000" w:themeColor="text1"/>
                <w:sz w:val="22"/>
                <w:lang w:val="en-US"/>
              </w:rPr>
              <w:t>1190</w:t>
            </w:r>
          </w:p>
        </w:tc>
        <w:tc>
          <w:tcPr>
            <w:tcW w:w="2126" w:type="dxa"/>
            <w:tcBorders>
              <w:top w:val="single" w:sz="4" w:space="0" w:color="auto"/>
            </w:tcBorders>
            <w:vAlign w:val="bottom"/>
          </w:tcPr>
          <w:p w14:paraId="60E59DBC" w14:textId="7F9696F4" w:rsidR="0064507B" w:rsidRPr="00112DB6" w:rsidRDefault="0064507B" w:rsidP="009E51EE">
            <w:pPr>
              <w:spacing w:before="0" w:after="0" w:line="240" w:lineRule="auto"/>
              <w:jc w:val="center"/>
              <w:rPr>
                <w:rFonts w:cs="Times New Roman"/>
                <w:color w:val="000000" w:themeColor="text1"/>
                <w:sz w:val="22"/>
                <w:lang w:val="en-US"/>
              </w:rPr>
            </w:pPr>
            <w:r w:rsidRPr="00112DB6">
              <w:rPr>
                <w:rFonts w:cs="Times New Roman"/>
                <w:color w:val="000000" w:themeColor="text1"/>
                <w:sz w:val="22"/>
                <w:lang w:val="en-US"/>
              </w:rPr>
              <w:t>241.8</w:t>
            </w:r>
            <w:r w:rsidR="001B3D75">
              <w:rPr>
                <w:rFonts w:cs="Times New Roman"/>
                <w:color w:val="000000" w:themeColor="text1"/>
                <w:sz w:val="22"/>
                <w:lang w:val="en-US"/>
              </w:rPr>
              <w:t xml:space="preserve"> </w:t>
            </w:r>
            <w:r w:rsidR="001B3D75" w:rsidRPr="001B3D75">
              <w:rPr>
                <w:rFonts w:cs="Times New Roman"/>
                <w:color w:val="000000" w:themeColor="text1"/>
                <w:sz w:val="22"/>
                <w:highlight w:val="yellow"/>
                <w:lang w:val="en-US"/>
              </w:rPr>
              <w:t>(228.3-255.8)</w:t>
            </w:r>
          </w:p>
        </w:tc>
      </w:tr>
      <w:tr w:rsidR="0064507B" w:rsidRPr="00112DB6" w14:paraId="5600F8A2" w14:textId="77777777" w:rsidTr="001B3D75">
        <w:trPr>
          <w:trHeight w:val="293"/>
        </w:trPr>
        <w:tc>
          <w:tcPr>
            <w:tcW w:w="2552" w:type="dxa"/>
            <w:shd w:val="clear" w:color="auto" w:fill="auto"/>
            <w:tcMar>
              <w:top w:w="15" w:type="dxa"/>
              <w:left w:w="101" w:type="dxa"/>
              <w:bottom w:w="0" w:type="dxa"/>
              <w:right w:w="101" w:type="dxa"/>
            </w:tcMar>
            <w:vAlign w:val="bottom"/>
            <w:hideMark/>
          </w:tcPr>
          <w:p w14:paraId="5124A8CD" w14:textId="77777777" w:rsidR="0064507B" w:rsidRPr="00112DB6" w:rsidRDefault="0064507B" w:rsidP="009E51EE">
            <w:pPr>
              <w:spacing w:before="0" w:after="0" w:line="240" w:lineRule="auto"/>
              <w:rPr>
                <w:rFonts w:cs="Times New Roman"/>
                <w:sz w:val="22"/>
                <w:lang w:val="en-US"/>
              </w:rPr>
            </w:pPr>
            <w:proofErr w:type="spellStart"/>
            <w:r w:rsidRPr="00112DB6">
              <w:rPr>
                <w:rFonts w:cs="Times New Roman"/>
                <w:sz w:val="22"/>
                <w:lang w:val="en-US"/>
              </w:rPr>
              <w:t>Finland</w:t>
            </w:r>
            <w:r w:rsidRPr="00112DB6">
              <w:rPr>
                <w:rFonts w:cs="Times New Roman"/>
                <w:sz w:val="22"/>
                <w:vertAlign w:val="superscript"/>
                <w:lang w:val="en-US"/>
              </w:rPr>
              <w:t>d</w:t>
            </w:r>
            <w:proofErr w:type="spellEnd"/>
            <w:r w:rsidRPr="00112DB6">
              <w:rPr>
                <w:rFonts w:cs="Times New Roman"/>
                <w:sz w:val="22"/>
                <w:vertAlign w:val="superscript"/>
                <w:lang w:val="en-US"/>
              </w:rPr>
              <w:t xml:space="preserve"> </w:t>
            </w:r>
          </w:p>
        </w:tc>
        <w:tc>
          <w:tcPr>
            <w:tcW w:w="1559" w:type="dxa"/>
            <w:shd w:val="clear" w:color="auto" w:fill="auto"/>
            <w:tcMar>
              <w:top w:w="15" w:type="dxa"/>
              <w:left w:w="101" w:type="dxa"/>
              <w:bottom w:w="0" w:type="dxa"/>
              <w:right w:w="101" w:type="dxa"/>
            </w:tcMar>
            <w:vAlign w:val="bottom"/>
          </w:tcPr>
          <w:p w14:paraId="066CA6D4"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1148CB24"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594 212</w:t>
            </w:r>
          </w:p>
        </w:tc>
        <w:tc>
          <w:tcPr>
            <w:tcW w:w="1985" w:type="dxa"/>
            <w:shd w:val="clear" w:color="auto" w:fill="auto"/>
            <w:vAlign w:val="bottom"/>
          </w:tcPr>
          <w:p w14:paraId="30A5D96E"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24 554</w:t>
            </w:r>
          </w:p>
        </w:tc>
        <w:tc>
          <w:tcPr>
            <w:tcW w:w="2126" w:type="dxa"/>
            <w:vAlign w:val="bottom"/>
          </w:tcPr>
          <w:p w14:paraId="65931106" w14:textId="12F406F9"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454.7</w:t>
            </w:r>
            <w:r w:rsidR="002A670F">
              <w:rPr>
                <w:rFonts w:cs="Times New Roman"/>
                <w:sz w:val="22"/>
                <w:lang w:val="en-US"/>
              </w:rPr>
              <w:t xml:space="preserve"> </w:t>
            </w:r>
            <w:r w:rsidR="002A670F" w:rsidRPr="002A670F">
              <w:rPr>
                <w:rFonts w:cs="Times New Roman"/>
                <w:sz w:val="22"/>
                <w:highlight w:val="yellow"/>
                <w:lang w:val="en-US"/>
              </w:rPr>
              <w:t>(449.3-460.1)</w:t>
            </w:r>
          </w:p>
        </w:tc>
      </w:tr>
      <w:tr w:rsidR="0064507B" w:rsidRPr="00112DB6" w14:paraId="77A795AC" w14:textId="77777777" w:rsidTr="001B3D75">
        <w:trPr>
          <w:trHeight w:val="293"/>
        </w:trPr>
        <w:tc>
          <w:tcPr>
            <w:tcW w:w="2552" w:type="dxa"/>
            <w:shd w:val="clear" w:color="auto" w:fill="auto"/>
            <w:tcMar>
              <w:top w:w="15" w:type="dxa"/>
              <w:left w:w="101" w:type="dxa"/>
              <w:bottom w:w="0" w:type="dxa"/>
              <w:right w:w="101" w:type="dxa"/>
            </w:tcMar>
            <w:vAlign w:val="bottom"/>
            <w:hideMark/>
          </w:tcPr>
          <w:p w14:paraId="7E4F3670" w14:textId="77777777" w:rsidR="0064507B" w:rsidRPr="00112DB6" w:rsidRDefault="0064507B" w:rsidP="00D14C7D">
            <w:pPr>
              <w:spacing w:before="0" w:after="0" w:line="240" w:lineRule="auto"/>
              <w:rPr>
                <w:rFonts w:cs="Times New Roman"/>
                <w:sz w:val="22"/>
                <w:lang w:val="en-US"/>
              </w:rPr>
            </w:pPr>
            <w:r w:rsidRPr="00112DB6">
              <w:rPr>
                <w:rFonts w:cs="Times New Roman"/>
                <w:sz w:val="22"/>
                <w:lang w:val="en-US"/>
              </w:rPr>
              <w:t xml:space="preserve">France: </w:t>
            </w:r>
            <w:proofErr w:type="spellStart"/>
            <w:r w:rsidRPr="00112DB6">
              <w:rPr>
                <w:rFonts w:cs="Times New Roman"/>
                <w:sz w:val="22"/>
                <w:lang w:val="en-US"/>
              </w:rPr>
              <w:t>Paris</w:t>
            </w:r>
            <w:r w:rsidRPr="00112DB6">
              <w:rPr>
                <w:rFonts w:eastAsia="Times New Roman" w:cs="Times New Roman"/>
                <w:color w:val="000000"/>
                <w:sz w:val="22"/>
                <w:vertAlign w:val="superscript"/>
                <w:lang w:val="en-US" w:eastAsia="en-GB"/>
              </w:rPr>
              <w:t>c,</w:t>
            </w:r>
            <w:r w:rsidRPr="00112DB6">
              <w:rPr>
                <w:rFonts w:cs="Times New Roman"/>
                <w:szCs w:val="24"/>
                <w:vertAlign w:val="superscript"/>
                <w:lang w:val="en-US"/>
              </w:rPr>
              <w:t>e</w:t>
            </w:r>
            <w:proofErr w:type="spellEnd"/>
          </w:p>
        </w:tc>
        <w:tc>
          <w:tcPr>
            <w:tcW w:w="1559" w:type="dxa"/>
            <w:shd w:val="clear" w:color="auto" w:fill="auto"/>
            <w:tcMar>
              <w:top w:w="15" w:type="dxa"/>
              <w:left w:w="101" w:type="dxa"/>
              <w:bottom w:w="0" w:type="dxa"/>
              <w:right w:w="101" w:type="dxa"/>
            </w:tcMar>
            <w:vAlign w:val="bottom"/>
          </w:tcPr>
          <w:p w14:paraId="3FE873DA"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53B15420"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264 879</w:t>
            </w:r>
          </w:p>
        </w:tc>
        <w:tc>
          <w:tcPr>
            <w:tcW w:w="1985" w:type="dxa"/>
            <w:shd w:val="clear" w:color="auto" w:fill="auto"/>
            <w:vAlign w:val="bottom"/>
          </w:tcPr>
          <w:p w14:paraId="54F538F9"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57</w:t>
            </w:r>
            <w:r w:rsidRPr="00112DB6">
              <w:rPr>
                <w:rFonts w:cs="Times New Roman"/>
                <w:color w:val="000000" w:themeColor="text1"/>
                <w:sz w:val="22"/>
                <w:lang w:val="en-US"/>
              </w:rPr>
              <w:t>34</w:t>
            </w:r>
          </w:p>
        </w:tc>
        <w:tc>
          <w:tcPr>
            <w:tcW w:w="2126" w:type="dxa"/>
            <w:vAlign w:val="bottom"/>
          </w:tcPr>
          <w:p w14:paraId="5E979121" w14:textId="54E66BCB"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218.6</w:t>
            </w:r>
            <w:r w:rsidR="002A670F">
              <w:rPr>
                <w:rFonts w:cs="Times New Roman"/>
                <w:sz w:val="22"/>
                <w:lang w:val="en-US"/>
              </w:rPr>
              <w:t xml:space="preserve"> </w:t>
            </w:r>
            <w:r w:rsidR="002A670F" w:rsidRPr="002A670F">
              <w:rPr>
                <w:rFonts w:cs="Times New Roman"/>
                <w:sz w:val="22"/>
                <w:highlight w:val="yellow"/>
                <w:lang w:val="en-US"/>
              </w:rPr>
              <w:t>(213.0-224.3)</w:t>
            </w:r>
          </w:p>
        </w:tc>
      </w:tr>
      <w:tr w:rsidR="0064507B" w:rsidRPr="00112DB6" w14:paraId="47A5F7CD" w14:textId="77777777" w:rsidTr="001B3D75">
        <w:trPr>
          <w:trHeight w:val="293"/>
        </w:trPr>
        <w:tc>
          <w:tcPr>
            <w:tcW w:w="2552" w:type="dxa"/>
            <w:shd w:val="clear" w:color="auto" w:fill="auto"/>
            <w:tcMar>
              <w:top w:w="15" w:type="dxa"/>
              <w:left w:w="101" w:type="dxa"/>
              <w:bottom w:w="0" w:type="dxa"/>
              <w:right w:w="101" w:type="dxa"/>
            </w:tcMar>
            <w:vAlign w:val="bottom"/>
            <w:hideMark/>
          </w:tcPr>
          <w:p w14:paraId="7325DCE5"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Italy: Emilia </w:t>
            </w:r>
            <w:proofErr w:type="spellStart"/>
            <w:r w:rsidRPr="00112DB6">
              <w:rPr>
                <w:rFonts w:cs="Times New Roman"/>
                <w:sz w:val="22"/>
                <w:lang w:val="en-US"/>
              </w:rPr>
              <w:t>Romagna</w:t>
            </w:r>
            <w:r w:rsidRPr="00112DB6">
              <w:rPr>
                <w:rFonts w:eastAsia="Times New Roman" w:cs="Times New Roman"/>
                <w:color w:val="000000"/>
                <w:sz w:val="22"/>
                <w:vertAlign w:val="superscript"/>
                <w:lang w:val="en-US" w:eastAsia="en-GB"/>
              </w:rPr>
              <w:t>c</w:t>
            </w:r>
            <w:proofErr w:type="spellEnd"/>
          </w:p>
        </w:tc>
        <w:tc>
          <w:tcPr>
            <w:tcW w:w="1559" w:type="dxa"/>
            <w:shd w:val="clear" w:color="auto" w:fill="auto"/>
            <w:tcMar>
              <w:top w:w="15" w:type="dxa"/>
              <w:left w:w="101" w:type="dxa"/>
              <w:bottom w:w="0" w:type="dxa"/>
              <w:right w:w="101" w:type="dxa"/>
            </w:tcMar>
            <w:vAlign w:val="bottom"/>
          </w:tcPr>
          <w:p w14:paraId="0E982F4F"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2008-2014</w:t>
            </w:r>
          </w:p>
        </w:tc>
        <w:tc>
          <w:tcPr>
            <w:tcW w:w="1559" w:type="dxa"/>
            <w:shd w:val="clear" w:color="auto" w:fill="auto"/>
            <w:vAlign w:val="bottom"/>
          </w:tcPr>
          <w:p w14:paraId="7F5BB5BF"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282 094</w:t>
            </w:r>
          </w:p>
        </w:tc>
        <w:tc>
          <w:tcPr>
            <w:tcW w:w="1985" w:type="dxa"/>
            <w:shd w:val="clear" w:color="auto" w:fill="auto"/>
            <w:vAlign w:val="bottom"/>
          </w:tcPr>
          <w:p w14:paraId="7C586E99"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5589</w:t>
            </w:r>
          </w:p>
        </w:tc>
        <w:tc>
          <w:tcPr>
            <w:tcW w:w="2126" w:type="dxa"/>
            <w:vAlign w:val="bottom"/>
          </w:tcPr>
          <w:p w14:paraId="6797DA7E" w14:textId="0ECA379A"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204.8</w:t>
            </w:r>
            <w:r w:rsidR="002A670F">
              <w:rPr>
                <w:rFonts w:cs="Times New Roman"/>
                <w:sz w:val="22"/>
                <w:lang w:val="en-US"/>
              </w:rPr>
              <w:t xml:space="preserve"> </w:t>
            </w:r>
            <w:r w:rsidR="002A670F" w:rsidRPr="002A670F">
              <w:rPr>
                <w:rFonts w:cs="Times New Roman"/>
                <w:sz w:val="22"/>
                <w:highlight w:val="yellow"/>
                <w:lang w:val="en-US"/>
              </w:rPr>
              <w:t>(199.6-210.2)</w:t>
            </w:r>
          </w:p>
        </w:tc>
      </w:tr>
      <w:tr w:rsidR="0064507B" w:rsidRPr="00112DB6" w14:paraId="6DADE195" w14:textId="77777777" w:rsidTr="001B3D75">
        <w:trPr>
          <w:trHeight w:val="293"/>
        </w:trPr>
        <w:tc>
          <w:tcPr>
            <w:tcW w:w="2552" w:type="dxa"/>
            <w:shd w:val="clear" w:color="auto" w:fill="auto"/>
            <w:tcMar>
              <w:top w:w="15" w:type="dxa"/>
              <w:left w:w="101" w:type="dxa"/>
              <w:bottom w:w="0" w:type="dxa"/>
              <w:right w:w="101" w:type="dxa"/>
            </w:tcMar>
            <w:vAlign w:val="bottom"/>
          </w:tcPr>
          <w:p w14:paraId="4520601E"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Italy: </w:t>
            </w:r>
            <w:proofErr w:type="spellStart"/>
            <w:r w:rsidRPr="00112DB6">
              <w:rPr>
                <w:rFonts w:cs="Times New Roman"/>
                <w:sz w:val="22"/>
                <w:lang w:val="en-US"/>
              </w:rPr>
              <w:t>Tuscany</w:t>
            </w:r>
            <w:r w:rsidRPr="00112DB6">
              <w:rPr>
                <w:rFonts w:eastAsia="Times New Roman" w:cs="Times New Roman"/>
                <w:color w:val="000000"/>
                <w:sz w:val="22"/>
                <w:vertAlign w:val="superscript"/>
                <w:lang w:val="en-US" w:eastAsia="en-GB"/>
              </w:rPr>
              <w:t>c</w:t>
            </w:r>
            <w:proofErr w:type="spellEnd"/>
          </w:p>
        </w:tc>
        <w:tc>
          <w:tcPr>
            <w:tcW w:w="1559" w:type="dxa"/>
            <w:shd w:val="clear" w:color="auto" w:fill="auto"/>
            <w:tcMar>
              <w:top w:w="15" w:type="dxa"/>
              <w:left w:w="101" w:type="dxa"/>
              <w:bottom w:w="0" w:type="dxa"/>
              <w:right w:w="101" w:type="dxa"/>
            </w:tcMar>
            <w:vAlign w:val="bottom"/>
          </w:tcPr>
          <w:p w14:paraId="06144747"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52FF233E"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299 869</w:t>
            </w:r>
          </w:p>
        </w:tc>
        <w:tc>
          <w:tcPr>
            <w:tcW w:w="1985" w:type="dxa"/>
            <w:shd w:val="clear" w:color="auto" w:fill="auto"/>
            <w:vAlign w:val="bottom"/>
          </w:tcPr>
          <w:p w14:paraId="20F7E10F"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4312</w:t>
            </w:r>
          </w:p>
        </w:tc>
        <w:tc>
          <w:tcPr>
            <w:tcW w:w="2126" w:type="dxa"/>
            <w:vAlign w:val="bottom"/>
          </w:tcPr>
          <w:p w14:paraId="6081C6A0" w14:textId="5F517709"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158.7</w:t>
            </w:r>
            <w:r w:rsidR="002A670F">
              <w:rPr>
                <w:rFonts w:cs="Times New Roman"/>
                <w:sz w:val="22"/>
                <w:lang w:val="en-US"/>
              </w:rPr>
              <w:t xml:space="preserve"> </w:t>
            </w:r>
            <w:r w:rsidR="002A670F" w:rsidRPr="002A670F">
              <w:rPr>
                <w:rFonts w:cs="Times New Roman"/>
                <w:sz w:val="22"/>
                <w:highlight w:val="yellow"/>
                <w:lang w:val="en-US"/>
              </w:rPr>
              <w:t>(154.2-163.3</w:t>
            </w:r>
            <w:r w:rsidR="002A670F">
              <w:rPr>
                <w:rFonts w:cs="Times New Roman"/>
                <w:sz w:val="22"/>
                <w:lang w:val="en-US"/>
              </w:rPr>
              <w:t>)</w:t>
            </w:r>
          </w:p>
        </w:tc>
      </w:tr>
      <w:tr w:rsidR="0064507B" w:rsidRPr="002A670F" w14:paraId="0CEB6A8D" w14:textId="77777777" w:rsidTr="001B3D75">
        <w:trPr>
          <w:trHeight w:val="293"/>
        </w:trPr>
        <w:tc>
          <w:tcPr>
            <w:tcW w:w="2552" w:type="dxa"/>
            <w:shd w:val="clear" w:color="auto" w:fill="auto"/>
            <w:tcMar>
              <w:top w:w="15" w:type="dxa"/>
              <w:left w:w="101" w:type="dxa"/>
              <w:bottom w:w="0" w:type="dxa"/>
              <w:right w:w="101" w:type="dxa"/>
            </w:tcMar>
            <w:vAlign w:val="bottom"/>
            <w:hideMark/>
          </w:tcPr>
          <w:p w14:paraId="42B3FBD4"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Netherlands: </w:t>
            </w:r>
            <w:proofErr w:type="spellStart"/>
            <w:r w:rsidRPr="00112DB6">
              <w:rPr>
                <w:rFonts w:cs="Times New Roman"/>
                <w:sz w:val="22"/>
                <w:lang w:val="en-US"/>
              </w:rPr>
              <w:t>Northern</w:t>
            </w:r>
            <w:r w:rsidRPr="00112DB6">
              <w:rPr>
                <w:rFonts w:eastAsia="Times New Roman" w:cs="Times New Roman"/>
                <w:color w:val="000000"/>
                <w:sz w:val="22"/>
                <w:vertAlign w:val="superscript"/>
                <w:lang w:val="en-US" w:eastAsia="en-GB"/>
              </w:rPr>
              <w:t>c</w:t>
            </w:r>
            <w:proofErr w:type="spellEnd"/>
            <w:r w:rsidRPr="00112DB6">
              <w:rPr>
                <w:rFonts w:cs="Times New Roman"/>
                <w:sz w:val="22"/>
                <w:lang w:val="en-US"/>
              </w:rPr>
              <w:t xml:space="preserve"> </w:t>
            </w:r>
          </w:p>
        </w:tc>
        <w:tc>
          <w:tcPr>
            <w:tcW w:w="1559" w:type="dxa"/>
            <w:shd w:val="clear" w:color="auto" w:fill="auto"/>
            <w:tcMar>
              <w:top w:w="15" w:type="dxa"/>
              <w:left w:w="108" w:type="dxa"/>
              <w:bottom w:w="0" w:type="dxa"/>
              <w:right w:w="108" w:type="dxa"/>
            </w:tcMar>
            <w:vAlign w:val="bottom"/>
          </w:tcPr>
          <w:p w14:paraId="0DD0C0AC"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1C7C32FF"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173 671</w:t>
            </w:r>
          </w:p>
        </w:tc>
        <w:tc>
          <w:tcPr>
            <w:tcW w:w="1985" w:type="dxa"/>
            <w:shd w:val="clear" w:color="auto" w:fill="auto"/>
            <w:vAlign w:val="bottom"/>
          </w:tcPr>
          <w:p w14:paraId="63BD1011" w14:textId="77777777" w:rsidR="0064507B" w:rsidRPr="00112DB6" w:rsidRDefault="0064507B" w:rsidP="009E51EE">
            <w:pPr>
              <w:spacing w:before="0" w:after="0" w:line="240" w:lineRule="auto"/>
              <w:jc w:val="center"/>
              <w:rPr>
                <w:rFonts w:cs="Times New Roman"/>
                <w:color w:val="000000" w:themeColor="text1"/>
                <w:sz w:val="22"/>
                <w:lang w:val="en-US"/>
              </w:rPr>
            </w:pPr>
            <w:r w:rsidRPr="00112DB6">
              <w:rPr>
                <w:rFonts w:cs="Times New Roman"/>
                <w:color w:val="000000" w:themeColor="text1"/>
                <w:sz w:val="22"/>
                <w:lang w:val="en-US"/>
              </w:rPr>
              <w:t>3810</w:t>
            </w:r>
          </w:p>
        </w:tc>
        <w:tc>
          <w:tcPr>
            <w:tcW w:w="2126" w:type="dxa"/>
            <w:vAlign w:val="bottom"/>
          </w:tcPr>
          <w:p w14:paraId="671E3530" w14:textId="60DACD39" w:rsidR="0064507B" w:rsidRPr="002A670F" w:rsidRDefault="0064507B" w:rsidP="009E51EE">
            <w:pPr>
              <w:spacing w:before="0" w:after="0" w:line="240" w:lineRule="auto"/>
              <w:jc w:val="center"/>
              <w:rPr>
                <w:rFonts w:cs="Times New Roman"/>
                <w:color w:val="000000" w:themeColor="text1"/>
                <w:sz w:val="22"/>
                <w:highlight w:val="yellow"/>
                <w:lang w:val="en-US"/>
              </w:rPr>
            </w:pPr>
            <w:r w:rsidRPr="002A670F">
              <w:rPr>
                <w:rFonts w:cs="Times New Roman"/>
                <w:color w:val="000000" w:themeColor="text1"/>
                <w:sz w:val="22"/>
                <w:lang w:val="en-US"/>
              </w:rPr>
              <w:t>229.7</w:t>
            </w:r>
            <w:r w:rsidR="002A670F" w:rsidRPr="002A670F">
              <w:rPr>
                <w:rFonts w:cs="Times New Roman"/>
                <w:color w:val="000000" w:themeColor="text1"/>
                <w:sz w:val="22"/>
                <w:highlight w:val="yellow"/>
                <w:lang w:val="en-US"/>
              </w:rPr>
              <w:t xml:space="preserve"> (222.7-237.0)</w:t>
            </w:r>
          </w:p>
        </w:tc>
      </w:tr>
      <w:tr w:rsidR="0064507B" w:rsidRPr="00112DB6" w14:paraId="0E696995" w14:textId="77777777" w:rsidTr="001B3D75">
        <w:trPr>
          <w:trHeight w:val="293"/>
        </w:trPr>
        <w:tc>
          <w:tcPr>
            <w:tcW w:w="2552" w:type="dxa"/>
            <w:shd w:val="clear" w:color="auto" w:fill="auto"/>
            <w:tcMar>
              <w:top w:w="15" w:type="dxa"/>
              <w:left w:w="101" w:type="dxa"/>
              <w:bottom w:w="0" w:type="dxa"/>
              <w:right w:w="101" w:type="dxa"/>
            </w:tcMar>
            <w:vAlign w:val="bottom"/>
            <w:hideMark/>
          </w:tcPr>
          <w:p w14:paraId="3E635D38" w14:textId="77777777" w:rsidR="0064507B" w:rsidRPr="00112DB6" w:rsidRDefault="0064507B" w:rsidP="009E51EE">
            <w:pPr>
              <w:spacing w:before="0" w:after="0" w:line="240" w:lineRule="auto"/>
              <w:rPr>
                <w:rFonts w:cs="Times New Roman"/>
                <w:sz w:val="22"/>
                <w:lang w:val="en-US"/>
              </w:rPr>
            </w:pPr>
            <w:proofErr w:type="spellStart"/>
            <w:r w:rsidRPr="00112DB6">
              <w:rPr>
                <w:rFonts w:cs="Times New Roman"/>
                <w:sz w:val="22"/>
                <w:lang w:val="en-US"/>
              </w:rPr>
              <w:t>Norway</w:t>
            </w:r>
            <w:r w:rsidRPr="00112DB6">
              <w:rPr>
                <w:rFonts w:cs="Times New Roman"/>
                <w:sz w:val="22"/>
                <w:vertAlign w:val="superscript"/>
                <w:lang w:val="en-US"/>
              </w:rPr>
              <w:t>d</w:t>
            </w:r>
            <w:proofErr w:type="spellEnd"/>
          </w:p>
        </w:tc>
        <w:tc>
          <w:tcPr>
            <w:tcW w:w="1559" w:type="dxa"/>
            <w:shd w:val="clear" w:color="auto" w:fill="auto"/>
            <w:tcMar>
              <w:top w:w="15" w:type="dxa"/>
              <w:left w:w="108" w:type="dxa"/>
              <w:bottom w:w="0" w:type="dxa"/>
              <w:right w:w="108" w:type="dxa"/>
            </w:tcMar>
            <w:vAlign w:val="bottom"/>
          </w:tcPr>
          <w:p w14:paraId="04FBF774"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5150C2E7"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607 585</w:t>
            </w:r>
          </w:p>
        </w:tc>
        <w:tc>
          <w:tcPr>
            <w:tcW w:w="1985" w:type="dxa"/>
            <w:shd w:val="clear" w:color="auto" w:fill="auto"/>
            <w:vAlign w:val="bottom"/>
          </w:tcPr>
          <w:p w14:paraId="225206BD"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15 010</w:t>
            </w:r>
          </w:p>
        </w:tc>
        <w:tc>
          <w:tcPr>
            <w:tcW w:w="2126" w:type="dxa"/>
            <w:vAlign w:val="bottom"/>
          </w:tcPr>
          <w:p w14:paraId="3FD94CF0" w14:textId="2C5BF611" w:rsidR="0064507B" w:rsidRPr="00112DB6" w:rsidRDefault="0064507B" w:rsidP="009E51EE">
            <w:pPr>
              <w:spacing w:before="0" w:after="0" w:line="240" w:lineRule="auto"/>
              <w:jc w:val="center"/>
              <w:rPr>
                <w:rFonts w:cs="Times New Roman"/>
                <w:color w:val="000000"/>
                <w:sz w:val="22"/>
                <w:lang w:val="en-US"/>
              </w:rPr>
            </w:pPr>
            <w:r w:rsidRPr="00112DB6">
              <w:rPr>
                <w:rFonts w:cs="Times New Roman"/>
                <w:color w:val="000000"/>
                <w:sz w:val="22"/>
                <w:lang w:val="en-US"/>
              </w:rPr>
              <w:t>233.8</w:t>
            </w:r>
            <w:r w:rsidR="002A670F">
              <w:rPr>
                <w:rFonts w:cs="Times New Roman"/>
                <w:color w:val="000000"/>
                <w:sz w:val="22"/>
                <w:lang w:val="en-US"/>
              </w:rPr>
              <w:t xml:space="preserve"> </w:t>
            </w:r>
            <w:r w:rsidR="002A670F" w:rsidRPr="002A670F">
              <w:rPr>
                <w:rFonts w:cs="Times New Roman"/>
                <w:color w:val="000000"/>
                <w:sz w:val="22"/>
                <w:highlight w:val="yellow"/>
                <w:lang w:val="en-US"/>
              </w:rPr>
              <w:t>(229.9-237.6)</w:t>
            </w:r>
          </w:p>
        </w:tc>
      </w:tr>
      <w:tr w:rsidR="0064507B" w:rsidRPr="00112DB6" w14:paraId="5AE92707" w14:textId="77777777" w:rsidTr="001B3D75">
        <w:trPr>
          <w:trHeight w:val="293"/>
        </w:trPr>
        <w:tc>
          <w:tcPr>
            <w:tcW w:w="2552" w:type="dxa"/>
            <w:shd w:val="clear" w:color="auto" w:fill="auto"/>
            <w:tcMar>
              <w:top w:w="15" w:type="dxa"/>
              <w:left w:w="101" w:type="dxa"/>
              <w:bottom w:w="0" w:type="dxa"/>
              <w:right w:w="101" w:type="dxa"/>
            </w:tcMar>
            <w:vAlign w:val="bottom"/>
          </w:tcPr>
          <w:p w14:paraId="7D043D29" w14:textId="77777777" w:rsidR="0064507B" w:rsidRPr="00112DB6" w:rsidRDefault="0064507B" w:rsidP="009E51EE">
            <w:pPr>
              <w:spacing w:before="0" w:after="0" w:line="240" w:lineRule="auto"/>
              <w:rPr>
                <w:rFonts w:cs="Times New Roman"/>
                <w:b/>
                <w:bCs/>
                <w:sz w:val="22"/>
                <w:lang w:val="en-US"/>
              </w:rPr>
            </w:pPr>
            <w:r w:rsidRPr="00112DB6">
              <w:rPr>
                <w:rFonts w:cs="Times New Roman"/>
                <w:sz w:val="22"/>
                <w:lang w:val="en-US"/>
              </w:rPr>
              <w:t xml:space="preserve">UK: </w:t>
            </w:r>
            <w:bookmarkStart w:id="17" w:name="_Hlk66180713"/>
            <w:r w:rsidRPr="00112DB6">
              <w:rPr>
                <w:rFonts w:cs="Times New Roman"/>
                <w:sz w:val="22"/>
                <w:lang w:val="en-US"/>
              </w:rPr>
              <w:t xml:space="preserve">East Midlands and South </w:t>
            </w:r>
            <w:proofErr w:type="spellStart"/>
            <w:r w:rsidRPr="00112DB6">
              <w:rPr>
                <w:rFonts w:cs="Times New Roman"/>
                <w:sz w:val="22"/>
                <w:lang w:val="en-US"/>
              </w:rPr>
              <w:t>Yorkshire</w:t>
            </w:r>
            <w:bookmarkEnd w:id="17"/>
            <w:r w:rsidRPr="00112DB6">
              <w:rPr>
                <w:rFonts w:eastAsia="Times New Roman" w:cs="Times New Roman"/>
                <w:color w:val="000000"/>
                <w:sz w:val="22"/>
                <w:vertAlign w:val="superscript"/>
                <w:lang w:val="en-US" w:eastAsia="en-GB"/>
              </w:rPr>
              <w:t>c</w:t>
            </w:r>
            <w:proofErr w:type="spellEnd"/>
          </w:p>
        </w:tc>
        <w:tc>
          <w:tcPr>
            <w:tcW w:w="1559" w:type="dxa"/>
            <w:shd w:val="clear" w:color="auto" w:fill="auto"/>
            <w:tcMar>
              <w:top w:w="15" w:type="dxa"/>
              <w:left w:w="101" w:type="dxa"/>
              <w:bottom w:w="0" w:type="dxa"/>
              <w:right w:w="101" w:type="dxa"/>
            </w:tcMar>
            <w:vAlign w:val="bottom"/>
          </w:tcPr>
          <w:p w14:paraId="26AB4B67"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2005-2012</w:t>
            </w:r>
          </w:p>
        </w:tc>
        <w:tc>
          <w:tcPr>
            <w:tcW w:w="1559" w:type="dxa"/>
            <w:shd w:val="clear" w:color="auto" w:fill="auto"/>
            <w:vAlign w:val="bottom"/>
          </w:tcPr>
          <w:p w14:paraId="14786B7D"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586 611</w:t>
            </w:r>
          </w:p>
        </w:tc>
        <w:tc>
          <w:tcPr>
            <w:tcW w:w="1985" w:type="dxa"/>
            <w:shd w:val="clear" w:color="auto" w:fill="auto"/>
            <w:vAlign w:val="bottom"/>
          </w:tcPr>
          <w:p w14:paraId="6AC04F4F"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9274</w:t>
            </w:r>
          </w:p>
        </w:tc>
        <w:tc>
          <w:tcPr>
            <w:tcW w:w="2126" w:type="dxa"/>
            <w:vAlign w:val="bottom"/>
          </w:tcPr>
          <w:p w14:paraId="6EAF6CAD" w14:textId="2F623D41"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161.9</w:t>
            </w:r>
            <w:r w:rsidR="008624FF">
              <w:rPr>
                <w:rFonts w:cs="Times New Roman"/>
                <w:sz w:val="22"/>
                <w:lang w:val="en-US"/>
              </w:rPr>
              <w:t xml:space="preserve"> </w:t>
            </w:r>
            <w:r w:rsidR="008624FF" w:rsidRPr="008624FF">
              <w:rPr>
                <w:rFonts w:cs="Times New Roman"/>
                <w:sz w:val="22"/>
                <w:highlight w:val="yellow"/>
                <w:lang w:val="en-US"/>
              </w:rPr>
              <w:t>(158.7-165.2)</w:t>
            </w:r>
          </w:p>
        </w:tc>
      </w:tr>
      <w:tr w:rsidR="0064507B" w:rsidRPr="00112DB6" w14:paraId="32835659" w14:textId="77777777" w:rsidTr="001B3D75">
        <w:trPr>
          <w:trHeight w:val="293"/>
        </w:trPr>
        <w:tc>
          <w:tcPr>
            <w:tcW w:w="2552" w:type="dxa"/>
            <w:shd w:val="clear" w:color="auto" w:fill="auto"/>
            <w:tcMar>
              <w:top w:w="15" w:type="dxa"/>
              <w:left w:w="101" w:type="dxa"/>
              <w:bottom w:w="0" w:type="dxa"/>
              <w:right w:w="101" w:type="dxa"/>
            </w:tcMar>
            <w:vAlign w:val="bottom"/>
          </w:tcPr>
          <w:p w14:paraId="3D8B0CE3"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UK: </w:t>
            </w:r>
            <w:bookmarkStart w:id="18" w:name="_Hlk66180699"/>
            <w:r w:rsidRPr="00112DB6">
              <w:rPr>
                <w:rFonts w:cs="Times New Roman"/>
                <w:sz w:val="22"/>
                <w:lang w:val="en-US"/>
              </w:rPr>
              <w:t xml:space="preserve">Thames </w:t>
            </w:r>
            <w:proofErr w:type="spellStart"/>
            <w:r w:rsidRPr="00112DB6">
              <w:rPr>
                <w:rFonts w:cs="Times New Roman"/>
                <w:sz w:val="22"/>
                <w:lang w:val="en-US"/>
              </w:rPr>
              <w:t>Valley</w:t>
            </w:r>
            <w:bookmarkEnd w:id="18"/>
            <w:r w:rsidRPr="00112DB6">
              <w:rPr>
                <w:rFonts w:eastAsia="Times New Roman" w:cs="Times New Roman"/>
                <w:color w:val="000000"/>
                <w:sz w:val="22"/>
                <w:vertAlign w:val="superscript"/>
                <w:lang w:val="en-US" w:eastAsia="en-GB"/>
              </w:rPr>
              <w:t>c</w:t>
            </w:r>
            <w:proofErr w:type="spellEnd"/>
          </w:p>
        </w:tc>
        <w:tc>
          <w:tcPr>
            <w:tcW w:w="1559" w:type="dxa"/>
            <w:shd w:val="clear" w:color="auto" w:fill="auto"/>
            <w:tcMar>
              <w:top w:w="15" w:type="dxa"/>
              <w:left w:w="101" w:type="dxa"/>
              <w:bottom w:w="0" w:type="dxa"/>
              <w:right w:w="101" w:type="dxa"/>
            </w:tcMar>
            <w:vAlign w:val="bottom"/>
          </w:tcPr>
          <w:p w14:paraId="1A7A3609"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2005-2013</w:t>
            </w:r>
          </w:p>
        </w:tc>
        <w:tc>
          <w:tcPr>
            <w:tcW w:w="1559" w:type="dxa"/>
            <w:shd w:val="clear" w:color="auto" w:fill="auto"/>
            <w:vAlign w:val="bottom"/>
          </w:tcPr>
          <w:p w14:paraId="5D77BB61"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270 327</w:t>
            </w:r>
          </w:p>
        </w:tc>
        <w:tc>
          <w:tcPr>
            <w:tcW w:w="1985" w:type="dxa"/>
            <w:shd w:val="clear" w:color="auto" w:fill="auto"/>
            <w:vAlign w:val="bottom"/>
          </w:tcPr>
          <w:p w14:paraId="555C5659"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3854</w:t>
            </w:r>
          </w:p>
        </w:tc>
        <w:tc>
          <w:tcPr>
            <w:tcW w:w="2126" w:type="dxa"/>
            <w:vAlign w:val="bottom"/>
          </w:tcPr>
          <w:p w14:paraId="52697391" w14:textId="1619E852"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146.3</w:t>
            </w:r>
            <w:r w:rsidR="008624FF">
              <w:rPr>
                <w:rFonts w:cs="Times New Roman"/>
                <w:sz w:val="22"/>
                <w:lang w:val="en-US"/>
              </w:rPr>
              <w:t xml:space="preserve"> </w:t>
            </w:r>
            <w:r w:rsidR="008624FF" w:rsidRPr="008624FF">
              <w:rPr>
                <w:rFonts w:cs="Times New Roman"/>
                <w:sz w:val="22"/>
                <w:highlight w:val="yellow"/>
                <w:lang w:val="en-US"/>
              </w:rPr>
              <w:t>(141.7-150.9)</w:t>
            </w:r>
          </w:p>
        </w:tc>
      </w:tr>
      <w:tr w:rsidR="0064507B" w:rsidRPr="00112DB6" w14:paraId="63FE6D7A" w14:textId="77777777" w:rsidTr="001B3D75">
        <w:trPr>
          <w:trHeight w:val="293"/>
        </w:trPr>
        <w:tc>
          <w:tcPr>
            <w:tcW w:w="2552" w:type="dxa"/>
            <w:shd w:val="clear" w:color="auto" w:fill="auto"/>
            <w:tcMar>
              <w:top w:w="15" w:type="dxa"/>
              <w:left w:w="101" w:type="dxa"/>
              <w:bottom w:w="0" w:type="dxa"/>
              <w:right w:w="101" w:type="dxa"/>
            </w:tcMar>
            <w:vAlign w:val="bottom"/>
          </w:tcPr>
          <w:p w14:paraId="7394518C" w14:textId="77777777" w:rsidR="0064507B" w:rsidRPr="00112DB6" w:rsidRDefault="0064507B" w:rsidP="009E51EE">
            <w:pPr>
              <w:spacing w:before="0" w:after="0" w:line="240" w:lineRule="auto"/>
              <w:rPr>
                <w:rFonts w:cs="Times New Roman"/>
                <w:b/>
                <w:bCs/>
                <w:sz w:val="22"/>
                <w:lang w:val="en-US"/>
              </w:rPr>
            </w:pPr>
            <w:r w:rsidRPr="00112DB6">
              <w:rPr>
                <w:rFonts w:cs="Times New Roman"/>
                <w:sz w:val="22"/>
                <w:lang w:val="en-US"/>
              </w:rPr>
              <w:t xml:space="preserve">UK: </w:t>
            </w:r>
            <w:bookmarkStart w:id="19" w:name="_Hlk66180706"/>
            <w:proofErr w:type="spellStart"/>
            <w:r w:rsidRPr="00112DB6">
              <w:rPr>
                <w:rFonts w:cs="Times New Roman"/>
                <w:sz w:val="22"/>
                <w:lang w:val="en-US"/>
              </w:rPr>
              <w:t>Wessex</w:t>
            </w:r>
            <w:bookmarkEnd w:id="19"/>
            <w:r w:rsidRPr="00112DB6">
              <w:rPr>
                <w:rFonts w:eastAsia="Times New Roman" w:cs="Times New Roman"/>
                <w:color w:val="000000"/>
                <w:sz w:val="22"/>
                <w:vertAlign w:val="superscript"/>
                <w:lang w:val="en-US" w:eastAsia="en-GB"/>
              </w:rPr>
              <w:t>c</w:t>
            </w:r>
            <w:proofErr w:type="spellEnd"/>
          </w:p>
        </w:tc>
        <w:tc>
          <w:tcPr>
            <w:tcW w:w="1559" w:type="dxa"/>
            <w:shd w:val="clear" w:color="auto" w:fill="auto"/>
            <w:tcMar>
              <w:top w:w="15" w:type="dxa"/>
              <w:left w:w="101" w:type="dxa"/>
              <w:bottom w:w="0" w:type="dxa"/>
              <w:right w:w="101" w:type="dxa"/>
            </w:tcMar>
            <w:vAlign w:val="bottom"/>
          </w:tcPr>
          <w:p w14:paraId="1C095110"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2C778730"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298 159</w:t>
            </w:r>
          </w:p>
        </w:tc>
        <w:tc>
          <w:tcPr>
            <w:tcW w:w="1985" w:type="dxa"/>
            <w:shd w:val="clear" w:color="auto" w:fill="auto"/>
            <w:vAlign w:val="bottom"/>
          </w:tcPr>
          <w:p w14:paraId="008A1502"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4015</w:t>
            </w:r>
          </w:p>
        </w:tc>
        <w:tc>
          <w:tcPr>
            <w:tcW w:w="2126" w:type="dxa"/>
            <w:vAlign w:val="bottom"/>
          </w:tcPr>
          <w:p w14:paraId="4C5495AA" w14:textId="078D3C96"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147.3</w:t>
            </w:r>
            <w:r w:rsidR="008624FF">
              <w:rPr>
                <w:rFonts w:cs="Times New Roman"/>
                <w:sz w:val="22"/>
                <w:lang w:val="en-US"/>
              </w:rPr>
              <w:t xml:space="preserve"> </w:t>
            </w:r>
            <w:r w:rsidR="008624FF" w:rsidRPr="008624FF">
              <w:rPr>
                <w:rFonts w:cs="Times New Roman"/>
                <w:sz w:val="22"/>
                <w:highlight w:val="yellow"/>
                <w:lang w:val="en-US"/>
              </w:rPr>
              <w:t>(143.0-151.7)</w:t>
            </w:r>
          </w:p>
        </w:tc>
      </w:tr>
      <w:tr w:rsidR="0064507B" w:rsidRPr="00112DB6" w14:paraId="46506933" w14:textId="77777777" w:rsidTr="001B3D75">
        <w:trPr>
          <w:trHeight w:val="293"/>
        </w:trPr>
        <w:tc>
          <w:tcPr>
            <w:tcW w:w="2552" w:type="dxa"/>
            <w:tcBorders>
              <w:bottom w:val="single" w:sz="4" w:space="0" w:color="auto"/>
            </w:tcBorders>
            <w:shd w:val="clear" w:color="auto" w:fill="auto"/>
            <w:tcMar>
              <w:top w:w="15" w:type="dxa"/>
              <w:left w:w="101" w:type="dxa"/>
              <w:bottom w:w="0" w:type="dxa"/>
              <w:right w:w="101" w:type="dxa"/>
            </w:tcMar>
            <w:vAlign w:val="bottom"/>
          </w:tcPr>
          <w:p w14:paraId="32BADB01"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UK: </w:t>
            </w:r>
            <w:proofErr w:type="spellStart"/>
            <w:r w:rsidRPr="00112DB6">
              <w:rPr>
                <w:rFonts w:cs="Times New Roman"/>
                <w:sz w:val="22"/>
                <w:lang w:val="en-US"/>
              </w:rPr>
              <w:t>Wales</w:t>
            </w:r>
            <w:r w:rsidRPr="00112DB6">
              <w:rPr>
                <w:rFonts w:eastAsia="Times New Roman" w:cs="Times New Roman"/>
                <w:color w:val="000000"/>
                <w:sz w:val="22"/>
                <w:vertAlign w:val="superscript"/>
                <w:lang w:val="en-US" w:eastAsia="en-GB"/>
              </w:rPr>
              <w:t>c</w:t>
            </w:r>
            <w:proofErr w:type="spellEnd"/>
            <w:r w:rsidRPr="00112DB6">
              <w:rPr>
                <w:rFonts w:cs="Times New Roman"/>
                <w:sz w:val="22"/>
                <w:lang w:val="en-US"/>
              </w:rPr>
              <w:t xml:space="preserve"> </w:t>
            </w:r>
          </w:p>
        </w:tc>
        <w:tc>
          <w:tcPr>
            <w:tcW w:w="1559" w:type="dxa"/>
            <w:tcBorders>
              <w:bottom w:val="single" w:sz="4" w:space="0" w:color="auto"/>
            </w:tcBorders>
            <w:shd w:val="clear" w:color="auto" w:fill="auto"/>
            <w:tcMar>
              <w:top w:w="15" w:type="dxa"/>
              <w:left w:w="101" w:type="dxa"/>
              <w:bottom w:w="0" w:type="dxa"/>
              <w:right w:w="101" w:type="dxa"/>
            </w:tcMar>
            <w:vAlign w:val="bottom"/>
          </w:tcPr>
          <w:p w14:paraId="45708E9A"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tcBorders>
              <w:bottom w:val="single" w:sz="4" w:space="0" w:color="auto"/>
            </w:tcBorders>
            <w:shd w:val="clear" w:color="auto" w:fill="auto"/>
            <w:vAlign w:val="bottom"/>
          </w:tcPr>
          <w:p w14:paraId="0A1B909A"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347 032</w:t>
            </w:r>
          </w:p>
        </w:tc>
        <w:tc>
          <w:tcPr>
            <w:tcW w:w="1985" w:type="dxa"/>
            <w:tcBorders>
              <w:bottom w:val="single" w:sz="4" w:space="0" w:color="auto"/>
            </w:tcBorders>
            <w:shd w:val="clear" w:color="auto" w:fill="auto"/>
            <w:vAlign w:val="bottom"/>
          </w:tcPr>
          <w:p w14:paraId="5E871193"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10 341</w:t>
            </w:r>
          </w:p>
        </w:tc>
        <w:tc>
          <w:tcPr>
            <w:tcW w:w="2126" w:type="dxa"/>
            <w:tcBorders>
              <w:bottom w:val="single" w:sz="4" w:space="0" w:color="auto"/>
            </w:tcBorders>
            <w:vAlign w:val="bottom"/>
          </w:tcPr>
          <w:p w14:paraId="7EBA25FD" w14:textId="69E06949"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291.2</w:t>
            </w:r>
            <w:r w:rsidR="008624FF">
              <w:rPr>
                <w:rFonts w:cs="Times New Roman"/>
                <w:sz w:val="22"/>
                <w:lang w:val="en-US"/>
              </w:rPr>
              <w:t xml:space="preserve"> </w:t>
            </w:r>
            <w:r w:rsidR="008624FF" w:rsidRPr="008624FF">
              <w:rPr>
                <w:rFonts w:cs="Times New Roman"/>
                <w:sz w:val="22"/>
                <w:highlight w:val="yellow"/>
                <w:lang w:val="en-US"/>
              </w:rPr>
              <w:t>(285.5-296.9)</w:t>
            </w:r>
          </w:p>
        </w:tc>
      </w:tr>
      <w:tr w:rsidR="0064507B" w:rsidRPr="00112DB6" w14:paraId="6821D5F2" w14:textId="77777777" w:rsidTr="001B3D75">
        <w:trPr>
          <w:trHeight w:val="293"/>
        </w:trPr>
        <w:tc>
          <w:tcPr>
            <w:tcW w:w="5670" w:type="dxa"/>
            <w:gridSpan w:val="3"/>
            <w:tcBorders>
              <w:top w:val="single" w:sz="4" w:space="0" w:color="auto"/>
              <w:bottom w:val="single" w:sz="4" w:space="0" w:color="auto"/>
            </w:tcBorders>
            <w:shd w:val="clear" w:color="auto" w:fill="auto"/>
            <w:tcMar>
              <w:top w:w="15" w:type="dxa"/>
              <w:left w:w="101" w:type="dxa"/>
              <w:bottom w:w="0" w:type="dxa"/>
              <w:right w:w="101" w:type="dxa"/>
            </w:tcMar>
            <w:vAlign w:val="bottom"/>
          </w:tcPr>
          <w:p w14:paraId="15E0A0F9" w14:textId="77777777" w:rsidR="0064507B" w:rsidRPr="00112DB6" w:rsidRDefault="0064507B" w:rsidP="009E51EE">
            <w:pPr>
              <w:spacing w:before="0" w:after="0" w:line="240" w:lineRule="auto"/>
              <w:rPr>
                <w:rFonts w:cs="Times New Roman"/>
                <w:color w:val="000000"/>
                <w:sz w:val="22"/>
                <w:lang w:val="en-US"/>
              </w:rPr>
            </w:pPr>
            <w:r w:rsidRPr="00112DB6">
              <w:rPr>
                <w:rFonts w:cs="Times New Roman"/>
                <w:b/>
                <w:i/>
                <w:sz w:val="22"/>
                <w:lang w:val="en-US"/>
              </w:rPr>
              <w:t xml:space="preserve">Registries which linked to mortality </w:t>
            </w:r>
            <w:proofErr w:type="spellStart"/>
            <w:r w:rsidRPr="00112DB6">
              <w:rPr>
                <w:rFonts w:cs="Times New Roman"/>
                <w:b/>
                <w:i/>
                <w:sz w:val="22"/>
                <w:lang w:val="en-US"/>
              </w:rPr>
              <w:t>records</w:t>
            </w:r>
            <w:r w:rsidRPr="00112DB6">
              <w:rPr>
                <w:rFonts w:cs="Times New Roman"/>
                <w:b/>
                <w:i/>
                <w:sz w:val="22"/>
                <w:vertAlign w:val="superscript"/>
                <w:lang w:val="en-US"/>
              </w:rPr>
              <w:t>d</w:t>
            </w:r>
            <w:proofErr w:type="spellEnd"/>
          </w:p>
        </w:tc>
        <w:tc>
          <w:tcPr>
            <w:tcW w:w="1985" w:type="dxa"/>
            <w:tcBorders>
              <w:top w:val="single" w:sz="4" w:space="0" w:color="auto"/>
              <w:bottom w:val="single" w:sz="4" w:space="0" w:color="auto"/>
            </w:tcBorders>
            <w:shd w:val="clear" w:color="auto" w:fill="auto"/>
            <w:vAlign w:val="bottom"/>
          </w:tcPr>
          <w:p w14:paraId="658C22F5" w14:textId="77777777" w:rsidR="0064507B" w:rsidRPr="00112DB6" w:rsidRDefault="0064507B" w:rsidP="009E51EE">
            <w:pPr>
              <w:spacing w:before="0" w:after="0" w:line="240" w:lineRule="auto"/>
              <w:jc w:val="center"/>
              <w:rPr>
                <w:rFonts w:cs="Times New Roman"/>
                <w:sz w:val="22"/>
                <w:lang w:val="en-US"/>
              </w:rPr>
            </w:pPr>
          </w:p>
        </w:tc>
        <w:tc>
          <w:tcPr>
            <w:tcW w:w="2126" w:type="dxa"/>
            <w:tcBorders>
              <w:top w:val="single" w:sz="4" w:space="0" w:color="auto"/>
              <w:bottom w:val="single" w:sz="4" w:space="0" w:color="auto"/>
            </w:tcBorders>
            <w:vAlign w:val="bottom"/>
          </w:tcPr>
          <w:p w14:paraId="4C25FB2D" w14:textId="77777777" w:rsidR="0064507B" w:rsidRPr="00112DB6" w:rsidRDefault="0064507B" w:rsidP="009E51EE">
            <w:pPr>
              <w:spacing w:before="0" w:after="0" w:line="240" w:lineRule="auto"/>
              <w:jc w:val="center"/>
              <w:rPr>
                <w:rFonts w:cs="Times New Roman"/>
                <w:sz w:val="22"/>
                <w:lang w:val="en-US"/>
              </w:rPr>
            </w:pPr>
          </w:p>
        </w:tc>
      </w:tr>
      <w:tr w:rsidR="0064507B" w:rsidRPr="00112DB6" w14:paraId="30BD64A9" w14:textId="77777777" w:rsidTr="001B3D75">
        <w:trPr>
          <w:trHeight w:val="293"/>
        </w:trPr>
        <w:tc>
          <w:tcPr>
            <w:tcW w:w="2552" w:type="dxa"/>
            <w:shd w:val="clear" w:color="auto" w:fill="auto"/>
            <w:tcMar>
              <w:top w:w="15" w:type="dxa"/>
              <w:left w:w="101" w:type="dxa"/>
              <w:bottom w:w="0" w:type="dxa"/>
              <w:right w:w="101" w:type="dxa"/>
            </w:tcMar>
            <w:vAlign w:val="bottom"/>
            <w:hideMark/>
          </w:tcPr>
          <w:p w14:paraId="751994A1" w14:textId="77777777" w:rsidR="0064507B" w:rsidRPr="00112DB6" w:rsidRDefault="0064507B" w:rsidP="009E51EE">
            <w:pPr>
              <w:spacing w:before="0" w:after="0" w:line="240" w:lineRule="auto"/>
              <w:rPr>
                <w:rFonts w:cs="Times New Roman"/>
                <w:sz w:val="22"/>
                <w:lang w:val="en-US"/>
              </w:rPr>
            </w:pPr>
            <w:proofErr w:type="spellStart"/>
            <w:r w:rsidRPr="00112DB6">
              <w:rPr>
                <w:rFonts w:cs="Times New Roman"/>
                <w:sz w:val="22"/>
                <w:lang w:val="en-US"/>
              </w:rPr>
              <w:t>Malta</w:t>
            </w:r>
            <w:r w:rsidRPr="00112DB6">
              <w:rPr>
                <w:rFonts w:cs="Times New Roman"/>
                <w:sz w:val="22"/>
                <w:vertAlign w:val="superscript"/>
                <w:lang w:val="en-US"/>
              </w:rPr>
              <w:t>d</w:t>
            </w:r>
            <w:proofErr w:type="spellEnd"/>
          </w:p>
        </w:tc>
        <w:tc>
          <w:tcPr>
            <w:tcW w:w="1559" w:type="dxa"/>
            <w:shd w:val="clear" w:color="auto" w:fill="auto"/>
            <w:tcMar>
              <w:top w:w="15" w:type="dxa"/>
              <w:left w:w="101" w:type="dxa"/>
              <w:bottom w:w="0" w:type="dxa"/>
              <w:right w:w="101" w:type="dxa"/>
            </w:tcMar>
            <w:vAlign w:val="bottom"/>
          </w:tcPr>
          <w:p w14:paraId="7167DE05"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2005-2014</w:t>
            </w:r>
          </w:p>
        </w:tc>
        <w:tc>
          <w:tcPr>
            <w:tcW w:w="1559" w:type="dxa"/>
            <w:shd w:val="clear" w:color="auto" w:fill="auto"/>
            <w:vAlign w:val="bottom"/>
          </w:tcPr>
          <w:p w14:paraId="38BD57A2"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41 155</w:t>
            </w:r>
          </w:p>
        </w:tc>
        <w:tc>
          <w:tcPr>
            <w:tcW w:w="1985" w:type="dxa"/>
            <w:shd w:val="clear" w:color="auto" w:fill="auto"/>
            <w:vAlign w:val="bottom"/>
          </w:tcPr>
          <w:p w14:paraId="52D7B865"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1191</w:t>
            </w:r>
          </w:p>
        </w:tc>
        <w:tc>
          <w:tcPr>
            <w:tcW w:w="2126" w:type="dxa"/>
            <w:vAlign w:val="bottom"/>
          </w:tcPr>
          <w:p w14:paraId="38C9CCAA" w14:textId="4DDB3894"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288.2</w:t>
            </w:r>
            <w:r w:rsidR="002A670F">
              <w:rPr>
                <w:rFonts w:cs="Times New Roman"/>
                <w:sz w:val="22"/>
                <w:lang w:val="en-US"/>
              </w:rPr>
              <w:t xml:space="preserve"> </w:t>
            </w:r>
            <w:r w:rsidR="002A670F" w:rsidRPr="002A670F">
              <w:rPr>
                <w:rFonts w:cs="Times New Roman"/>
                <w:sz w:val="22"/>
                <w:highlight w:val="yellow"/>
                <w:lang w:val="en-US"/>
              </w:rPr>
              <w:t>(272.0-305.1)</w:t>
            </w:r>
          </w:p>
        </w:tc>
      </w:tr>
      <w:tr w:rsidR="0064507B" w:rsidRPr="00112DB6" w14:paraId="10F2F7EB" w14:textId="77777777" w:rsidTr="001B3D75">
        <w:trPr>
          <w:trHeight w:val="293"/>
        </w:trPr>
        <w:tc>
          <w:tcPr>
            <w:tcW w:w="2552" w:type="dxa"/>
            <w:tcBorders>
              <w:bottom w:val="single" w:sz="4" w:space="0" w:color="auto"/>
            </w:tcBorders>
            <w:shd w:val="clear" w:color="auto" w:fill="auto"/>
            <w:tcMar>
              <w:top w:w="15" w:type="dxa"/>
              <w:left w:w="101" w:type="dxa"/>
              <w:bottom w:w="0" w:type="dxa"/>
              <w:right w:w="101" w:type="dxa"/>
            </w:tcMar>
            <w:vAlign w:val="bottom"/>
            <w:hideMark/>
          </w:tcPr>
          <w:p w14:paraId="6CCB6522" w14:textId="77777777" w:rsidR="0064507B" w:rsidRPr="00112DB6" w:rsidRDefault="0064507B" w:rsidP="009E51EE">
            <w:pPr>
              <w:spacing w:before="0" w:after="0" w:line="240" w:lineRule="auto"/>
              <w:rPr>
                <w:rFonts w:cs="Times New Roman"/>
                <w:sz w:val="22"/>
                <w:lang w:val="en-US"/>
              </w:rPr>
            </w:pPr>
            <w:r w:rsidRPr="00112DB6">
              <w:rPr>
                <w:rFonts w:cs="Times New Roman"/>
                <w:sz w:val="22"/>
                <w:lang w:val="en-US"/>
              </w:rPr>
              <w:t xml:space="preserve">Spain: Valencian </w:t>
            </w:r>
            <w:proofErr w:type="spellStart"/>
            <w:r w:rsidRPr="00112DB6">
              <w:rPr>
                <w:rFonts w:cs="Times New Roman"/>
                <w:sz w:val="22"/>
                <w:lang w:val="en-US"/>
              </w:rPr>
              <w:t>Region</w:t>
            </w:r>
            <w:r w:rsidRPr="00112DB6">
              <w:rPr>
                <w:rFonts w:eastAsia="Times New Roman" w:cs="Times New Roman"/>
                <w:color w:val="000000"/>
                <w:sz w:val="22"/>
                <w:vertAlign w:val="superscript"/>
                <w:lang w:val="en-US" w:eastAsia="en-GB"/>
              </w:rPr>
              <w:t>c</w:t>
            </w:r>
            <w:proofErr w:type="spellEnd"/>
            <w:r w:rsidRPr="00112DB6">
              <w:rPr>
                <w:rFonts w:cs="Times New Roman"/>
                <w:sz w:val="22"/>
                <w:lang w:val="en-US"/>
              </w:rPr>
              <w:t xml:space="preserve"> </w:t>
            </w:r>
          </w:p>
        </w:tc>
        <w:tc>
          <w:tcPr>
            <w:tcW w:w="1559" w:type="dxa"/>
            <w:tcBorders>
              <w:bottom w:val="single" w:sz="4" w:space="0" w:color="auto"/>
            </w:tcBorders>
            <w:shd w:val="clear" w:color="auto" w:fill="auto"/>
            <w:tcMar>
              <w:top w:w="15" w:type="dxa"/>
              <w:left w:w="101" w:type="dxa"/>
              <w:bottom w:w="0" w:type="dxa"/>
              <w:right w:w="101" w:type="dxa"/>
            </w:tcMar>
            <w:vAlign w:val="bottom"/>
          </w:tcPr>
          <w:p w14:paraId="51F3BCF7"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2007-2014</w:t>
            </w:r>
          </w:p>
        </w:tc>
        <w:tc>
          <w:tcPr>
            <w:tcW w:w="1559" w:type="dxa"/>
            <w:tcBorders>
              <w:bottom w:val="single" w:sz="4" w:space="0" w:color="auto"/>
            </w:tcBorders>
            <w:shd w:val="clear" w:color="auto" w:fill="auto"/>
            <w:vAlign w:val="bottom"/>
          </w:tcPr>
          <w:p w14:paraId="0EA53410"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403 099</w:t>
            </w:r>
          </w:p>
        </w:tc>
        <w:tc>
          <w:tcPr>
            <w:tcW w:w="1985" w:type="dxa"/>
            <w:tcBorders>
              <w:bottom w:val="single" w:sz="4" w:space="0" w:color="auto"/>
            </w:tcBorders>
            <w:shd w:val="clear" w:color="auto" w:fill="auto"/>
            <w:vAlign w:val="bottom"/>
          </w:tcPr>
          <w:p w14:paraId="72CB059A"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7389</w:t>
            </w:r>
          </w:p>
        </w:tc>
        <w:tc>
          <w:tcPr>
            <w:tcW w:w="2126" w:type="dxa"/>
            <w:tcBorders>
              <w:bottom w:val="single" w:sz="4" w:space="0" w:color="auto"/>
            </w:tcBorders>
            <w:vAlign w:val="bottom"/>
          </w:tcPr>
          <w:p w14:paraId="71A2E332" w14:textId="2CD16E3C"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180.1</w:t>
            </w:r>
            <w:r w:rsidR="008624FF">
              <w:rPr>
                <w:rFonts w:cs="Times New Roman"/>
                <w:sz w:val="22"/>
                <w:lang w:val="en-US"/>
              </w:rPr>
              <w:t xml:space="preserve"> </w:t>
            </w:r>
            <w:r w:rsidR="008624FF" w:rsidRPr="008624FF">
              <w:rPr>
                <w:rFonts w:cs="Times New Roman"/>
                <w:sz w:val="22"/>
                <w:highlight w:val="yellow"/>
                <w:lang w:val="en-US"/>
              </w:rPr>
              <w:t>(176.0-184.3)</w:t>
            </w:r>
          </w:p>
        </w:tc>
      </w:tr>
      <w:tr w:rsidR="0064507B" w:rsidRPr="00112DB6" w14:paraId="3DECE653" w14:textId="77777777" w:rsidTr="001B3D75">
        <w:trPr>
          <w:trHeight w:val="293"/>
        </w:trPr>
        <w:tc>
          <w:tcPr>
            <w:tcW w:w="2552"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541DA47F" w14:textId="77777777" w:rsidR="0064507B" w:rsidRPr="00112DB6" w:rsidRDefault="0064507B" w:rsidP="009E51EE">
            <w:pPr>
              <w:spacing w:before="0" w:after="0" w:line="240" w:lineRule="auto"/>
              <w:rPr>
                <w:rFonts w:cs="Times New Roman"/>
                <w:sz w:val="22"/>
                <w:lang w:val="en-US"/>
              </w:rPr>
            </w:pPr>
            <w:r w:rsidRPr="00112DB6">
              <w:rPr>
                <w:rFonts w:cs="Times New Roman"/>
                <w:b/>
                <w:bCs/>
                <w:sz w:val="22"/>
                <w:lang w:val="en-US"/>
              </w:rPr>
              <w:t xml:space="preserve">Total </w:t>
            </w:r>
          </w:p>
        </w:tc>
        <w:tc>
          <w:tcPr>
            <w:tcW w:w="1559"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103C89D6" w14:textId="77777777" w:rsidR="0064507B" w:rsidRPr="00112DB6" w:rsidRDefault="0064507B" w:rsidP="009E51EE">
            <w:pPr>
              <w:spacing w:before="0" w:after="0" w:line="240" w:lineRule="auto"/>
              <w:jc w:val="center"/>
              <w:rPr>
                <w:rFonts w:cs="Times New Roman"/>
                <w:sz w:val="22"/>
                <w:lang w:val="en-US"/>
              </w:rPr>
            </w:pPr>
          </w:p>
        </w:tc>
        <w:tc>
          <w:tcPr>
            <w:tcW w:w="1559" w:type="dxa"/>
            <w:tcBorders>
              <w:top w:val="single" w:sz="4" w:space="0" w:color="auto"/>
              <w:bottom w:val="single" w:sz="4" w:space="0" w:color="auto"/>
            </w:tcBorders>
            <w:shd w:val="clear" w:color="auto" w:fill="auto"/>
            <w:vAlign w:val="bottom"/>
          </w:tcPr>
          <w:p w14:paraId="7D808738" w14:textId="77777777" w:rsidR="0064507B" w:rsidRPr="00112DB6" w:rsidRDefault="0064507B" w:rsidP="009E51EE">
            <w:pPr>
              <w:spacing w:before="0" w:after="0" w:line="240" w:lineRule="auto"/>
              <w:jc w:val="center"/>
              <w:rPr>
                <w:rFonts w:cs="Times New Roman"/>
                <w:sz w:val="22"/>
                <w:lang w:val="en-US"/>
              </w:rPr>
            </w:pPr>
            <w:r w:rsidRPr="00112DB6">
              <w:rPr>
                <w:rFonts w:cs="Times New Roman"/>
                <w:color w:val="000000"/>
                <w:sz w:val="22"/>
                <w:lang w:val="en-US"/>
              </w:rPr>
              <w:t>4 218 786</w:t>
            </w:r>
          </w:p>
        </w:tc>
        <w:tc>
          <w:tcPr>
            <w:tcW w:w="1985" w:type="dxa"/>
            <w:tcBorders>
              <w:top w:val="single" w:sz="4" w:space="0" w:color="auto"/>
              <w:bottom w:val="single" w:sz="4" w:space="0" w:color="auto"/>
            </w:tcBorders>
            <w:shd w:val="clear" w:color="auto" w:fill="auto"/>
            <w:vAlign w:val="bottom"/>
          </w:tcPr>
          <w:p w14:paraId="46D05D30" w14:textId="77777777" w:rsidR="0064507B" w:rsidRPr="00112DB6" w:rsidRDefault="0064507B" w:rsidP="009E51EE">
            <w:pPr>
              <w:spacing w:before="0" w:after="0" w:line="240" w:lineRule="auto"/>
              <w:jc w:val="center"/>
              <w:rPr>
                <w:rFonts w:cs="Times New Roman"/>
                <w:sz w:val="22"/>
                <w:lang w:val="en-US"/>
              </w:rPr>
            </w:pPr>
            <w:r w:rsidRPr="00112DB6">
              <w:rPr>
                <w:rFonts w:cs="Times New Roman"/>
                <w:sz w:val="22"/>
                <w:lang w:val="en-US"/>
              </w:rPr>
              <w:t>96 263</w:t>
            </w:r>
          </w:p>
        </w:tc>
        <w:tc>
          <w:tcPr>
            <w:tcW w:w="2126" w:type="dxa"/>
            <w:tcBorders>
              <w:top w:val="single" w:sz="4" w:space="0" w:color="auto"/>
              <w:bottom w:val="single" w:sz="4" w:space="0" w:color="auto"/>
            </w:tcBorders>
            <w:vAlign w:val="bottom"/>
          </w:tcPr>
          <w:p w14:paraId="4293DF5E" w14:textId="77777777" w:rsidR="0064507B" w:rsidRPr="00112DB6" w:rsidRDefault="0064507B" w:rsidP="009E51EE">
            <w:pPr>
              <w:spacing w:before="0" w:after="0" w:line="240" w:lineRule="auto"/>
              <w:jc w:val="center"/>
              <w:rPr>
                <w:rFonts w:cs="Times New Roman"/>
                <w:sz w:val="22"/>
                <w:lang w:val="en-US"/>
              </w:rPr>
            </w:pPr>
          </w:p>
        </w:tc>
      </w:tr>
    </w:tbl>
    <w:p w14:paraId="444CDB70" w14:textId="77777777" w:rsidR="0064507B" w:rsidRPr="00112DB6" w:rsidRDefault="0064507B" w:rsidP="009E51EE">
      <w:pPr>
        <w:spacing w:before="0" w:after="0" w:line="240" w:lineRule="auto"/>
        <w:rPr>
          <w:sz w:val="22"/>
          <w:lang w:val="en-US"/>
        </w:rPr>
      </w:pPr>
      <w:bookmarkStart w:id="20" w:name="_Hlk73537892"/>
      <w:proofErr w:type="spellStart"/>
      <w:proofErr w:type="gramStart"/>
      <w:r w:rsidRPr="00112DB6">
        <w:rPr>
          <w:sz w:val="22"/>
          <w:vertAlign w:val="superscript"/>
          <w:lang w:val="en-US"/>
        </w:rPr>
        <w:t>a</w:t>
      </w:r>
      <w:proofErr w:type="spellEnd"/>
      <w:proofErr w:type="gramEnd"/>
      <w:r w:rsidRPr="00112DB6">
        <w:rPr>
          <w:sz w:val="22"/>
          <w:lang w:val="en-US"/>
        </w:rPr>
        <w:t xml:space="preserve"> Extracted from the EUROCAT (</w:t>
      </w:r>
      <w:r w:rsidRPr="00112DB6">
        <w:rPr>
          <w:rFonts w:cs="Times New Roman"/>
          <w:sz w:val="22"/>
          <w:lang w:val="en-US"/>
        </w:rPr>
        <w:t>European network of population-based registries for the epidemiological surveillance of congenital anomalies)</w:t>
      </w:r>
      <w:r w:rsidRPr="00112DB6">
        <w:rPr>
          <w:sz w:val="22"/>
          <w:lang w:val="en-US"/>
        </w:rPr>
        <w:t xml:space="preserve"> website: </w:t>
      </w:r>
      <w:hyperlink r:id="rId12" w:history="1">
        <w:r w:rsidRPr="00112DB6">
          <w:rPr>
            <w:rStyle w:val="Hyperlink"/>
            <w:sz w:val="22"/>
            <w:lang w:val="en-US"/>
          </w:rPr>
          <w:t>https://eu-rd-platform.jrc.ec.europa.eu/eurocat/eurocat-data/prevalence_en</w:t>
        </w:r>
      </w:hyperlink>
      <w:r w:rsidRPr="00112DB6">
        <w:rPr>
          <w:sz w:val="22"/>
          <w:lang w:val="en-US"/>
        </w:rPr>
        <w:t xml:space="preserve"> (accessed on 05/02/2021);</w:t>
      </w:r>
    </w:p>
    <w:bookmarkEnd w:id="20"/>
    <w:p w14:paraId="538B36FF" w14:textId="77777777" w:rsidR="0064507B" w:rsidRPr="00112DB6" w:rsidRDefault="0064507B" w:rsidP="006E7A4A">
      <w:pPr>
        <w:spacing w:before="0" w:after="0" w:line="240" w:lineRule="auto"/>
        <w:rPr>
          <w:rFonts w:cs="Times New Roman"/>
          <w:sz w:val="22"/>
          <w:lang w:val="en-US"/>
        </w:rPr>
      </w:pPr>
      <w:proofErr w:type="gramStart"/>
      <w:r w:rsidRPr="00112DB6">
        <w:rPr>
          <w:rFonts w:cs="Times New Roman"/>
          <w:sz w:val="22"/>
          <w:vertAlign w:val="superscript"/>
          <w:lang w:val="en-US"/>
        </w:rPr>
        <w:t>b</w:t>
      </w:r>
      <w:proofErr w:type="gramEnd"/>
      <w:r w:rsidRPr="00112DB6">
        <w:rPr>
          <w:rFonts w:cs="Times New Roman"/>
          <w:sz w:val="22"/>
          <w:lang w:val="en-US"/>
        </w:rPr>
        <w:t xml:space="preserve"> National/vital statistics include birth and death registration data and all live births will have a record;</w:t>
      </w:r>
    </w:p>
    <w:p w14:paraId="1EC9B047" w14:textId="77777777" w:rsidR="0064507B" w:rsidRPr="00112DB6" w:rsidRDefault="0064507B" w:rsidP="006E7A4A">
      <w:pPr>
        <w:spacing w:before="0" w:after="0" w:line="240" w:lineRule="auto"/>
        <w:rPr>
          <w:rFonts w:cs="Times New Roman"/>
          <w:sz w:val="22"/>
          <w:szCs w:val="24"/>
          <w:lang w:val="en-US"/>
        </w:rPr>
      </w:pPr>
      <w:proofErr w:type="gramStart"/>
      <w:r w:rsidRPr="00112DB6">
        <w:rPr>
          <w:rFonts w:cs="Times New Roman"/>
          <w:szCs w:val="24"/>
          <w:vertAlign w:val="superscript"/>
          <w:lang w:val="en-US"/>
        </w:rPr>
        <w:t>c</w:t>
      </w:r>
      <w:proofErr w:type="gramEnd"/>
      <w:r w:rsidRPr="00112DB6">
        <w:rPr>
          <w:rFonts w:cs="Times New Roman"/>
          <w:szCs w:val="24"/>
          <w:vertAlign w:val="superscript"/>
          <w:lang w:val="en-US"/>
        </w:rPr>
        <w:t xml:space="preserve"> </w:t>
      </w:r>
      <w:r w:rsidRPr="00112DB6">
        <w:rPr>
          <w:rFonts w:cs="Times New Roman"/>
          <w:sz w:val="22"/>
          <w:szCs w:val="24"/>
          <w:lang w:val="en-US"/>
        </w:rPr>
        <w:t>Regional registries;</w:t>
      </w:r>
    </w:p>
    <w:p w14:paraId="3A7C4CE4" w14:textId="77777777" w:rsidR="0064507B" w:rsidRPr="00112DB6" w:rsidRDefault="0064507B" w:rsidP="006E7A4A">
      <w:pPr>
        <w:spacing w:before="0" w:after="0" w:line="240" w:lineRule="auto"/>
        <w:rPr>
          <w:rFonts w:cs="Times New Roman"/>
          <w:b/>
          <w:i/>
          <w:sz w:val="22"/>
          <w:lang w:val="en-US"/>
        </w:rPr>
      </w:pPr>
      <w:proofErr w:type="gramStart"/>
      <w:r w:rsidRPr="00112DB6">
        <w:rPr>
          <w:rFonts w:cs="Times New Roman"/>
          <w:sz w:val="22"/>
          <w:vertAlign w:val="superscript"/>
          <w:lang w:val="en-US"/>
        </w:rPr>
        <w:t>d</w:t>
      </w:r>
      <w:proofErr w:type="gramEnd"/>
      <w:r w:rsidRPr="00112DB6">
        <w:rPr>
          <w:rFonts w:cs="Times New Roman"/>
          <w:sz w:val="22"/>
          <w:szCs w:val="24"/>
          <w:lang w:val="en-US"/>
        </w:rPr>
        <w:t xml:space="preserve"> National registries;</w:t>
      </w:r>
    </w:p>
    <w:p w14:paraId="4D9E8A0A" w14:textId="77777777" w:rsidR="0064507B" w:rsidRPr="00112DB6" w:rsidRDefault="0064507B" w:rsidP="00D14C7D">
      <w:pPr>
        <w:spacing w:before="0" w:after="0" w:line="240" w:lineRule="auto"/>
        <w:rPr>
          <w:rFonts w:cs="Times New Roman"/>
          <w:sz w:val="22"/>
          <w:lang w:val="en-US"/>
        </w:rPr>
      </w:pPr>
      <w:proofErr w:type="gramStart"/>
      <w:r w:rsidRPr="00112DB6">
        <w:rPr>
          <w:rFonts w:cs="Times New Roman"/>
          <w:szCs w:val="24"/>
          <w:vertAlign w:val="superscript"/>
          <w:lang w:val="en-US"/>
        </w:rPr>
        <w:t>e</w:t>
      </w:r>
      <w:proofErr w:type="gramEnd"/>
      <w:r w:rsidRPr="00112DB6">
        <w:rPr>
          <w:rFonts w:cs="Times New Roman"/>
          <w:szCs w:val="24"/>
          <w:vertAlign w:val="superscript"/>
          <w:lang w:val="en-US"/>
        </w:rPr>
        <w:t xml:space="preserve"> </w:t>
      </w:r>
      <w:r w:rsidRPr="00112DB6">
        <w:rPr>
          <w:rFonts w:cs="Times New Roman"/>
          <w:sz w:val="22"/>
          <w:lang w:val="en-US"/>
        </w:rPr>
        <w:t>Civil registry and mortality registry;</w:t>
      </w:r>
    </w:p>
    <w:p w14:paraId="562278D9" w14:textId="1A597926" w:rsidR="0064507B" w:rsidRDefault="0064507B" w:rsidP="006E7A4A">
      <w:pPr>
        <w:spacing w:before="0" w:after="0" w:line="240" w:lineRule="auto"/>
        <w:rPr>
          <w:rFonts w:cs="Times New Roman"/>
          <w:sz w:val="22"/>
          <w:lang w:val="en-US"/>
        </w:rPr>
      </w:pPr>
      <w:proofErr w:type="gramStart"/>
      <w:r w:rsidRPr="00112DB6">
        <w:rPr>
          <w:rFonts w:cs="Times New Roman"/>
          <w:sz w:val="22"/>
          <w:vertAlign w:val="superscript"/>
          <w:lang w:val="en-US"/>
        </w:rPr>
        <w:t>f</w:t>
      </w:r>
      <w:proofErr w:type="gramEnd"/>
      <w:r w:rsidRPr="00112DB6">
        <w:rPr>
          <w:rFonts w:cs="Times New Roman"/>
          <w:sz w:val="22"/>
          <w:vertAlign w:val="superscript"/>
          <w:lang w:val="en-US"/>
        </w:rPr>
        <w:t xml:space="preserve"> </w:t>
      </w:r>
      <w:r w:rsidRPr="00112DB6">
        <w:rPr>
          <w:rFonts w:cs="Times New Roman"/>
          <w:sz w:val="22"/>
          <w:lang w:val="en-US"/>
        </w:rPr>
        <w:t>Mortality records only include death registration and live births who remain alive will not have a record.</w:t>
      </w:r>
    </w:p>
    <w:p w14:paraId="758976E6" w14:textId="71199861" w:rsidR="00187E7B" w:rsidRPr="00112DB6" w:rsidRDefault="00187E7B" w:rsidP="006E7A4A">
      <w:pPr>
        <w:spacing w:before="0" w:after="0" w:line="240" w:lineRule="auto"/>
        <w:rPr>
          <w:rFonts w:cs="Times New Roman"/>
          <w:sz w:val="22"/>
          <w:lang w:val="en-US"/>
        </w:rPr>
      </w:pPr>
      <w:proofErr w:type="gramStart"/>
      <w:r>
        <w:rPr>
          <w:rFonts w:cs="Times New Roman"/>
          <w:sz w:val="22"/>
          <w:lang w:val="en-US"/>
        </w:rPr>
        <w:t>95</w:t>
      </w:r>
      <w:proofErr w:type="gramEnd"/>
      <w:r>
        <w:rPr>
          <w:rFonts w:cs="Times New Roman"/>
          <w:sz w:val="22"/>
          <w:lang w:val="en-US"/>
        </w:rPr>
        <w:t>% CI, 95% confidence interval.</w:t>
      </w:r>
    </w:p>
    <w:bookmarkEnd w:id="16"/>
    <w:p w14:paraId="03830729" w14:textId="77777777" w:rsidR="0064507B" w:rsidRPr="00112DB6" w:rsidRDefault="0064507B" w:rsidP="00D14C7D">
      <w:pPr>
        <w:spacing w:after="0" w:line="240" w:lineRule="auto"/>
        <w:rPr>
          <w:rFonts w:cs="Times New Roman"/>
          <w:sz w:val="22"/>
          <w:lang w:val="en-US"/>
        </w:rPr>
      </w:pPr>
    </w:p>
    <w:p w14:paraId="54B659B4" w14:textId="77777777" w:rsidR="0064507B" w:rsidRPr="00112DB6" w:rsidRDefault="0064507B" w:rsidP="009E51EE">
      <w:pPr>
        <w:pageBreakBefore/>
        <w:rPr>
          <w:rFonts w:cs="Times New Roman"/>
          <w:b/>
          <w:lang w:val="en-US"/>
        </w:rPr>
        <w:sectPr w:rsidR="0064507B" w:rsidRPr="00112DB6" w:rsidSect="00593F7F">
          <w:pgSz w:w="11906" w:h="16838"/>
          <w:pgMar w:top="1440" w:right="1440" w:bottom="1440" w:left="1440" w:header="709" w:footer="709" w:gutter="0"/>
          <w:cols w:space="708"/>
          <w:docGrid w:linePitch="360"/>
        </w:sectPr>
      </w:pPr>
    </w:p>
    <w:p w14:paraId="729C35DD" w14:textId="77777777" w:rsidR="0064507B" w:rsidRPr="00112DB6" w:rsidRDefault="0064507B" w:rsidP="009E51EE">
      <w:pPr>
        <w:pStyle w:val="Heading1"/>
        <w:rPr>
          <w:rFonts w:cs="Times New Roman"/>
          <w:sz w:val="22"/>
          <w:szCs w:val="28"/>
          <w:lang w:val="en-US"/>
        </w:rPr>
      </w:pPr>
      <w:r w:rsidRPr="00112DB6">
        <w:rPr>
          <w:rFonts w:cs="Times New Roman"/>
          <w:lang w:val="en-US"/>
        </w:rPr>
        <w:lastRenderedPageBreak/>
        <w:t>TABLE 2</w:t>
      </w:r>
      <w:r w:rsidRPr="00112DB6">
        <w:rPr>
          <w:rFonts w:cs="Times New Roman"/>
          <w:sz w:val="22"/>
          <w:szCs w:val="28"/>
          <w:lang w:val="en-US"/>
        </w:rPr>
        <w:t xml:space="preserve"> </w:t>
      </w:r>
      <w:r w:rsidRPr="00112DB6">
        <w:rPr>
          <w:rFonts w:cs="Times New Roman"/>
          <w:b w:val="0"/>
          <w:bCs/>
          <w:lang w:val="en-US"/>
        </w:rPr>
        <w:t>Pooled survival estimates at selected age groups up to 10 years of age for children born with an isolated structural congenital anomaly (‘Isolated’ group) or Down syndrome in 13 EUROCAT registries in nine Western European countries, 2005-2014</w:t>
      </w:r>
    </w:p>
    <w:tbl>
      <w:tblPr>
        <w:tblStyle w:val="TableGrid"/>
        <w:tblW w:w="150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9"/>
        <w:gridCol w:w="1276"/>
        <w:gridCol w:w="1275"/>
        <w:gridCol w:w="1843"/>
        <w:gridCol w:w="1985"/>
        <w:gridCol w:w="1842"/>
        <w:gridCol w:w="1843"/>
        <w:gridCol w:w="1843"/>
      </w:tblGrid>
      <w:tr w:rsidR="0064507B" w:rsidRPr="00112DB6" w14:paraId="5F8C827D" w14:textId="77777777" w:rsidTr="009E51EE">
        <w:trPr>
          <w:tblHeader/>
        </w:trPr>
        <w:tc>
          <w:tcPr>
            <w:tcW w:w="3119" w:type="dxa"/>
            <w:tcBorders>
              <w:top w:val="single" w:sz="4" w:space="0" w:color="auto"/>
              <w:bottom w:val="single" w:sz="4" w:space="0" w:color="auto"/>
            </w:tcBorders>
          </w:tcPr>
          <w:p w14:paraId="6DCB5991" w14:textId="77777777" w:rsidR="0064507B" w:rsidRPr="00112DB6" w:rsidRDefault="0064507B" w:rsidP="009E51EE">
            <w:pPr>
              <w:spacing w:before="0" w:after="0" w:line="240" w:lineRule="auto"/>
              <w:rPr>
                <w:b/>
                <w:bCs/>
                <w:szCs w:val="24"/>
                <w:lang w:val="en-US"/>
              </w:rPr>
            </w:pPr>
            <w:bookmarkStart w:id="21" w:name="_Hlk73527029"/>
          </w:p>
        </w:tc>
        <w:tc>
          <w:tcPr>
            <w:tcW w:w="1276" w:type="dxa"/>
            <w:tcBorders>
              <w:top w:val="single" w:sz="4" w:space="0" w:color="auto"/>
              <w:bottom w:val="single" w:sz="4" w:space="0" w:color="auto"/>
            </w:tcBorders>
          </w:tcPr>
          <w:p w14:paraId="2D37FA4D" w14:textId="77777777" w:rsidR="0064507B" w:rsidRPr="00112DB6" w:rsidRDefault="0064507B" w:rsidP="009E51EE">
            <w:pPr>
              <w:spacing w:before="0" w:after="0" w:line="240" w:lineRule="auto"/>
              <w:jc w:val="center"/>
              <w:rPr>
                <w:b/>
                <w:bCs/>
                <w:szCs w:val="24"/>
                <w:lang w:val="en-US"/>
              </w:rPr>
            </w:pPr>
          </w:p>
        </w:tc>
        <w:tc>
          <w:tcPr>
            <w:tcW w:w="1275" w:type="dxa"/>
            <w:tcBorders>
              <w:top w:val="single" w:sz="4" w:space="0" w:color="auto"/>
              <w:bottom w:val="single" w:sz="4" w:space="0" w:color="auto"/>
            </w:tcBorders>
          </w:tcPr>
          <w:p w14:paraId="578A21BB" w14:textId="77777777" w:rsidR="0064507B" w:rsidRPr="00112DB6" w:rsidRDefault="0064507B" w:rsidP="009E51EE">
            <w:pPr>
              <w:spacing w:before="0" w:after="0" w:line="240" w:lineRule="auto"/>
              <w:jc w:val="center"/>
              <w:rPr>
                <w:b/>
                <w:bCs/>
                <w:szCs w:val="24"/>
                <w:lang w:val="en-US"/>
              </w:rPr>
            </w:pPr>
          </w:p>
        </w:tc>
        <w:tc>
          <w:tcPr>
            <w:tcW w:w="9356" w:type="dxa"/>
            <w:gridSpan w:val="5"/>
            <w:tcBorders>
              <w:top w:val="single" w:sz="4" w:space="0" w:color="auto"/>
              <w:bottom w:val="single" w:sz="4" w:space="0" w:color="auto"/>
            </w:tcBorders>
          </w:tcPr>
          <w:p w14:paraId="693CE0E4" w14:textId="77777777" w:rsidR="0064507B" w:rsidRPr="00112DB6" w:rsidRDefault="0064507B" w:rsidP="009E51EE">
            <w:pPr>
              <w:spacing w:before="0" w:after="0" w:line="240" w:lineRule="auto"/>
              <w:jc w:val="center"/>
              <w:rPr>
                <w:b/>
                <w:bCs/>
                <w:sz w:val="22"/>
                <w:lang w:val="en-US"/>
              </w:rPr>
            </w:pPr>
            <w:r w:rsidRPr="00112DB6">
              <w:rPr>
                <w:b/>
                <w:bCs/>
                <w:sz w:val="22"/>
                <w:lang w:val="en-US"/>
              </w:rPr>
              <w:t>Survival estimates % (95% CI)</w:t>
            </w:r>
          </w:p>
        </w:tc>
      </w:tr>
      <w:tr w:rsidR="0064507B" w:rsidRPr="00112DB6" w14:paraId="5103D022" w14:textId="77777777" w:rsidTr="009E51EE">
        <w:trPr>
          <w:tblHeader/>
        </w:trPr>
        <w:tc>
          <w:tcPr>
            <w:tcW w:w="3119" w:type="dxa"/>
            <w:tcBorders>
              <w:top w:val="single" w:sz="4" w:space="0" w:color="auto"/>
              <w:bottom w:val="single" w:sz="4" w:space="0" w:color="auto"/>
            </w:tcBorders>
          </w:tcPr>
          <w:p w14:paraId="2C76D253" w14:textId="77777777" w:rsidR="0064507B" w:rsidRPr="00112DB6" w:rsidRDefault="0064507B" w:rsidP="009E51EE">
            <w:pPr>
              <w:spacing w:before="0" w:after="0" w:line="240" w:lineRule="auto"/>
              <w:rPr>
                <w:b/>
                <w:bCs/>
                <w:sz w:val="22"/>
                <w:lang w:val="en-US"/>
              </w:rPr>
            </w:pPr>
            <w:r w:rsidRPr="00112DB6">
              <w:rPr>
                <w:b/>
                <w:bCs/>
                <w:sz w:val="22"/>
                <w:lang w:val="en-US"/>
              </w:rPr>
              <w:t>Congenital anomaly groups and subgroups</w:t>
            </w:r>
          </w:p>
        </w:tc>
        <w:tc>
          <w:tcPr>
            <w:tcW w:w="1276" w:type="dxa"/>
            <w:tcBorders>
              <w:top w:val="single" w:sz="4" w:space="0" w:color="auto"/>
              <w:bottom w:val="single" w:sz="4" w:space="0" w:color="auto"/>
            </w:tcBorders>
          </w:tcPr>
          <w:p w14:paraId="656F769E" w14:textId="77777777" w:rsidR="0064507B" w:rsidRPr="00112DB6" w:rsidRDefault="0064507B" w:rsidP="009E51EE">
            <w:pPr>
              <w:spacing w:before="0" w:after="0" w:line="240" w:lineRule="auto"/>
              <w:jc w:val="center"/>
              <w:rPr>
                <w:b/>
                <w:bCs/>
                <w:sz w:val="22"/>
                <w:lang w:val="en-US"/>
              </w:rPr>
            </w:pPr>
            <w:r w:rsidRPr="00112DB6">
              <w:rPr>
                <w:b/>
                <w:bCs/>
                <w:sz w:val="22"/>
                <w:lang w:val="en-US"/>
              </w:rPr>
              <w:t>No. of live births</w:t>
            </w:r>
          </w:p>
        </w:tc>
        <w:tc>
          <w:tcPr>
            <w:tcW w:w="1275" w:type="dxa"/>
            <w:tcBorders>
              <w:top w:val="single" w:sz="4" w:space="0" w:color="auto"/>
              <w:bottom w:val="single" w:sz="4" w:space="0" w:color="auto"/>
            </w:tcBorders>
          </w:tcPr>
          <w:p w14:paraId="00267BA5" w14:textId="77777777" w:rsidR="0064507B" w:rsidRPr="00112DB6" w:rsidRDefault="0064507B" w:rsidP="009E51EE">
            <w:pPr>
              <w:spacing w:before="0" w:after="0" w:line="240" w:lineRule="auto"/>
              <w:jc w:val="center"/>
              <w:rPr>
                <w:b/>
                <w:bCs/>
                <w:sz w:val="22"/>
                <w:lang w:val="en-US"/>
              </w:rPr>
            </w:pPr>
            <w:r w:rsidRPr="00112DB6">
              <w:rPr>
                <w:b/>
                <w:bCs/>
                <w:sz w:val="22"/>
                <w:lang w:val="en-US"/>
              </w:rPr>
              <w:t>No. of deaths up to 10 years</w:t>
            </w:r>
          </w:p>
        </w:tc>
        <w:tc>
          <w:tcPr>
            <w:tcW w:w="1843" w:type="dxa"/>
            <w:tcBorders>
              <w:top w:val="single" w:sz="4" w:space="0" w:color="auto"/>
              <w:bottom w:val="single" w:sz="4" w:space="0" w:color="auto"/>
            </w:tcBorders>
          </w:tcPr>
          <w:p w14:paraId="5F622029" w14:textId="77777777" w:rsidR="0064507B" w:rsidRPr="00112DB6" w:rsidRDefault="0064507B" w:rsidP="009E51EE">
            <w:pPr>
              <w:spacing w:before="0" w:after="0" w:line="240" w:lineRule="auto"/>
              <w:jc w:val="center"/>
              <w:rPr>
                <w:b/>
                <w:bCs/>
                <w:sz w:val="22"/>
                <w:lang w:val="en-US"/>
              </w:rPr>
            </w:pPr>
            <w:r w:rsidRPr="00112DB6">
              <w:rPr>
                <w:b/>
                <w:bCs/>
                <w:sz w:val="22"/>
                <w:lang w:val="en-US"/>
              </w:rPr>
              <w:t>1 week</w:t>
            </w:r>
          </w:p>
        </w:tc>
        <w:tc>
          <w:tcPr>
            <w:tcW w:w="1985" w:type="dxa"/>
            <w:tcBorders>
              <w:top w:val="single" w:sz="4" w:space="0" w:color="auto"/>
              <w:bottom w:val="single" w:sz="4" w:space="0" w:color="auto"/>
            </w:tcBorders>
          </w:tcPr>
          <w:p w14:paraId="5278C014" w14:textId="77777777" w:rsidR="0064507B" w:rsidRPr="00112DB6" w:rsidRDefault="0064507B" w:rsidP="009E51EE">
            <w:pPr>
              <w:spacing w:before="0" w:after="0" w:line="240" w:lineRule="auto"/>
              <w:jc w:val="center"/>
              <w:rPr>
                <w:b/>
                <w:bCs/>
                <w:sz w:val="22"/>
                <w:lang w:val="en-US"/>
              </w:rPr>
            </w:pPr>
            <w:r w:rsidRPr="00112DB6">
              <w:rPr>
                <w:b/>
                <w:bCs/>
                <w:sz w:val="22"/>
                <w:lang w:val="en-US"/>
              </w:rPr>
              <w:t>4 weeks</w:t>
            </w:r>
          </w:p>
        </w:tc>
        <w:tc>
          <w:tcPr>
            <w:tcW w:w="1842" w:type="dxa"/>
            <w:tcBorders>
              <w:top w:val="single" w:sz="4" w:space="0" w:color="auto"/>
              <w:bottom w:val="single" w:sz="4" w:space="0" w:color="auto"/>
            </w:tcBorders>
          </w:tcPr>
          <w:p w14:paraId="7D6D98CD" w14:textId="77777777" w:rsidR="0064507B" w:rsidRPr="00112DB6" w:rsidRDefault="0064507B" w:rsidP="009E51EE">
            <w:pPr>
              <w:spacing w:before="0" w:after="0" w:line="240" w:lineRule="auto"/>
              <w:jc w:val="center"/>
              <w:rPr>
                <w:b/>
                <w:bCs/>
                <w:sz w:val="22"/>
                <w:lang w:val="en-US"/>
              </w:rPr>
            </w:pPr>
            <w:r w:rsidRPr="00112DB6">
              <w:rPr>
                <w:b/>
                <w:bCs/>
                <w:sz w:val="22"/>
                <w:lang w:val="en-US"/>
              </w:rPr>
              <w:t>1 year</w:t>
            </w:r>
          </w:p>
        </w:tc>
        <w:tc>
          <w:tcPr>
            <w:tcW w:w="1843" w:type="dxa"/>
            <w:tcBorders>
              <w:top w:val="single" w:sz="4" w:space="0" w:color="auto"/>
              <w:bottom w:val="single" w:sz="4" w:space="0" w:color="auto"/>
            </w:tcBorders>
          </w:tcPr>
          <w:p w14:paraId="708BF2FF" w14:textId="77777777" w:rsidR="0064507B" w:rsidRPr="00112DB6" w:rsidRDefault="0064507B" w:rsidP="009E51EE">
            <w:pPr>
              <w:spacing w:before="0" w:after="0" w:line="240" w:lineRule="auto"/>
              <w:jc w:val="center"/>
              <w:rPr>
                <w:b/>
                <w:bCs/>
                <w:sz w:val="22"/>
                <w:lang w:val="en-US"/>
              </w:rPr>
            </w:pPr>
            <w:r w:rsidRPr="00112DB6">
              <w:rPr>
                <w:b/>
                <w:bCs/>
                <w:sz w:val="22"/>
                <w:lang w:val="en-US"/>
              </w:rPr>
              <w:t>5 years</w:t>
            </w:r>
          </w:p>
        </w:tc>
        <w:tc>
          <w:tcPr>
            <w:tcW w:w="1843" w:type="dxa"/>
            <w:tcBorders>
              <w:top w:val="single" w:sz="4" w:space="0" w:color="auto"/>
              <w:bottom w:val="single" w:sz="4" w:space="0" w:color="auto"/>
            </w:tcBorders>
          </w:tcPr>
          <w:p w14:paraId="43F60AA9" w14:textId="77777777" w:rsidR="0064507B" w:rsidRPr="00112DB6" w:rsidRDefault="0064507B" w:rsidP="009E51EE">
            <w:pPr>
              <w:spacing w:before="0" w:after="0" w:line="240" w:lineRule="auto"/>
              <w:jc w:val="center"/>
              <w:rPr>
                <w:b/>
                <w:bCs/>
                <w:sz w:val="22"/>
                <w:lang w:val="en-US"/>
              </w:rPr>
            </w:pPr>
            <w:r w:rsidRPr="00112DB6">
              <w:rPr>
                <w:b/>
                <w:bCs/>
                <w:sz w:val="22"/>
                <w:lang w:val="en-US"/>
              </w:rPr>
              <w:t>10 years</w:t>
            </w:r>
          </w:p>
        </w:tc>
      </w:tr>
      <w:tr w:rsidR="0064507B" w:rsidRPr="00112DB6" w14:paraId="5EE7BAC0" w14:textId="77777777" w:rsidTr="009E51EE">
        <w:tc>
          <w:tcPr>
            <w:tcW w:w="3119" w:type="dxa"/>
            <w:tcBorders>
              <w:top w:val="single" w:sz="4" w:space="0" w:color="auto"/>
            </w:tcBorders>
            <w:vAlign w:val="bottom"/>
          </w:tcPr>
          <w:p w14:paraId="1A5480EB" w14:textId="77777777" w:rsidR="0064507B" w:rsidRPr="00112DB6" w:rsidRDefault="0064507B" w:rsidP="009E51EE">
            <w:pPr>
              <w:spacing w:before="0" w:after="0" w:line="360" w:lineRule="auto"/>
              <w:rPr>
                <w:rFonts w:cs="Times New Roman"/>
                <w:sz w:val="22"/>
                <w:lang w:val="en-US"/>
              </w:rPr>
            </w:pPr>
            <w:r w:rsidRPr="00112DB6">
              <w:rPr>
                <w:rFonts w:cs="Times New Roman"/>
                <w:b/>
                <w:bCs/>
                <w:sz w:val="22"/>
                <w:lang w:val="en-US"/>
              </w:rPr>
              <w:t xml:space="preserve">Any isolated </w:t>
            </w:r>
            <w:proofErr w:type="spellStart"/>
            <w:r w:rsidRPr="00112DB6">
              <w:rPr>
                <w:rFonts w:cs="Times New Roman"/>
                <w:b/>
                <w:bCs/>
                <w:sz w:val="22"/>
                <w:lang w:val="en-US"/>
              </w:rPr>
              <w:t>anomaly</w:t>
            </w:r>
            <w:r w:rsidRPr="00112DB6">
              <w:rPr>
                <w:rFonts w:cs="Times New Roman"/>
                <w:b/>
                <w:bCs/>
                <w:szCs w:val="24"/>
                <w:vertAlign w:val="superscript"/>
                <w:lang w:val="en-US"/>
              </w:rPr>
              <w:t>a</w:t>
            </w:r>
            <w:proofErr w:type="spellEnd"/>
          </w:p>
        </w:tc>
        <w:tc>
          <w:tcPr>
            <w:tcW w:w="1276" w:type="dxa"/>
            <w:tcBorders>
              <w:top w:val="single" w:sz="4" w:space="0" w:color="auto"/>
            </w:tcBorders>
            <w:vAlign w:val="bottom"/>
          </w:tcPr>
          <w:p w14:paraId="36E285A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77 054</w:t>
            </w:r>
          </w:p>
        </w:tc>
        <w:tc>
          <w:tcPr>
            <w:tcW w:w="1275" w:type="dxa"/>
            <w:tcBorders>
              <w:top w:val="single" w:sz="4" w:space="0" w:color="auto"/>
            </w:tcBorders>
            <w:vAlign w:val="bottom"/>
          </w:tcPr>
          <w:p w14:paraId="2B2EEA3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2002</w:t>
            </w:r>
          </w:p>
        </w:tc>
        <w:tc>
          <w:tcPr>
            <w:tcW w:w="1843" w:type="dxa"/>
            <w:tcBorders>
              <w:top w:val="single" w:sz="4" w:space="0" w:color="auto"/>
            </w:tcBorders>
            <w:vAlign w:val="bottom"/>
          </w:tcPr>
          <w:p w14:paraId="41DBBB1C" w14:textId="77777777" w:rsidR="0064507B" w:rsidRPr="00112DB6" w:rsidRDefault="0064507B" w:rsidP="009E51EE">
            <w:pPr>
              <w:spacing w:before="0" w:after="0" w:line="360" w:lineRule="auto"/>
              <w:rPr>
                <w:rFonts w:cs="Times New Roman"/>
                <w:b/>
                <w:bCs/>
                <w:sz w:val="20"/>
                <w:szCs w:val="20"/>
                <w:lang w:val="en-US"/>
              </w:rPr>
            </w:pPr>
            <w:r w:rsidRPr="00112DB6">
              <w:rPr>
                <w:rFonts w:cs="Times New Roman"/>
                <w:sz w:val="20"/>
                <w:szCs w:val="20"/>
                <w:lang w:val="en-US"/>
              </w:rPr>
              <w:t>98.8 (98.5-99.2)</w:t>
            </w:r>
          </w:p>
        </w:tc>
        <w:tc>
          <w:tcPr>
            <w:tcW w:w="1985" w:type="dxa"/>
            <w:tcBorders>
              <w:top w:val="single" w:sz="4" w:space="0" w:color="auto"/>
            </w:tcBorders>
            <w:vAlign w:val="bottom"/>
          </w:tcPr>
          <w:p w14:paraId="25A6026E" w14:textId="77777777" w:rsidR="0064507B" w:rsidRPr="00112DB6" w:rsidRDefault="0064507B" w:rsidP="009E51EE">
            <w:pPr>
              <w:spacing w:before="0" w:after="0" w:line="360" w:lineRule="auto"/>
              <w:rPr>
                <w:rFonts w:cs="Times New Roman"/>
                <w:b/>
                <w:bCs/>
                <w:sz w:val="20"/>
                <w:szCs w:val="20"/>
                <w:lang w:val="en-US"/>
              </w:rPr>
            </w:pPr>
            <w:r w:rsidRPr="00112DB6">
              <w:rPr>
                <w:rFonts w:cs="Times New Roman"/>
                <w:sz w:val="20"/>
                <w:szCs w:val="20"/>
                <w:lang w:val="en-US"/>
              </w:rPr>
              <w:t>98.2 (97.7-98.7)</w:t>
            </w:r>
          </w:p>
        </w:tc>
        <w:tc>
          <w:tcPr>
            <w:tcW w:w="1842" w:type="dxa"/>
            <w:tcBorders>
              <w:top w:val="single" w:sz="4" w:space="0" w:color="auto"/>
            </w:tcBorders>
            <w:vAlign w:val="bottom"/>
          </w:tcPr>
          <w:p w14:paraId="6CB806F5" w14:textId="77777777" w:rsidR="0064507B" w:rsidRPr="00112DB6" w:rsidRDefault="0064507B" w:rsidP="009E51EE">
            <w:pPr>
              <w:spacing w:before="0" w:after="0" w:line="360" w:lineRule="auto"/>
              <w:rPr>
                <w:rFonts w:cs="Times New Roman"/>
                <w:b/>
                <w:bCs/>
                <w:sz w:val="20"/>
                <w:szCs w:val="20"/>
                <w:lang w:val="en-US"/>
              </w:rPr>
            </w:pPr>
            <w:r w:rsidRPr="00112DB6">
              <w:rPr>
                <w:rFonts w:cs="Times New Roman"/>
                <w:sz w:val="20"/>
                <w:szCs w:val="20"/>
                <w:lang w:val="en-US"/>
              </w:rPr>
              <w:t>97.3 (96.6-98.1)</w:t>
            </w:r>
          </w:p>
        </w:tc>
        <w:tc>
          <w:tcPr>
            <w:tcW w:w="1843" w:type="dxa"/>
            <w:tcBorders>
              <w:top w:val="single" w:sz="4" w:space="0" w:color="auto"/>
            </w:tcBorders>
            <w:vAlign w:val="bottom"/>
          </w:tcPr>
          <w:p w14:paraId="6AEFCC67" w14:textId="77777777" w:rsidR="0064507B" w:rsidRPr="00112DB6" w:rsidRDefault="0064507B" w:rsidP="009E51EE">
            <w:pPr>
              <w:spacing w:before="0" w:after="0" w:line="360" w:lineRule="auto"/>
              <w:rPr>
                <w:rFonts w:cs="Times New Roman"/>
                <w:b/>
                <w:bCs/>
                <w:sz w:val="20"/>
                <w:szCs w:val="20"/>
                <w:lang w:val="en-US"/>
              </w:rPr>
            </w:pPr>
            <w:r w:rsidRPr="00112DB6">
              <w:rPr>
                <w:rFonts w:cs="Times New Roman"/>
                <w:sz w:val="20"/>
                <w:szCs w:val="20"/>
                <w:lang w:val="en-US"/>
              </w:rPr>
              <w:t>97.0 (96.1-97.8)</w:t>
            </w:r>
          </w:p>
        </w:tc>
        <w:tc>
          <w:tcPr>
            <w:tcW w:w="1843" w:type="dxa"/>
            <w:tcBorders>
              <w:top w:val="single" w:sz="4" w:space="0" w:color="auto"/>
            </w:tcBorders>
            <w:vAlign w:val="bottom"/>
          </w:tcPr>
          <w:p w14:paraId="0C817EBC" w14:textId="77777777" w:rsidR="0064507B" w:rsidRPr="00112DB6" w:rsidRDefault="0064507B" w:rsidP="009E51EE">
            <w:pPr>
              <w:spacing w:before="0" w:after="0" w:line="360" w:lineRule="auto"/>
              <w:rPr>
                <w:rFonts w:cs="Times New Roman"/>
                <w:b/>
                <w:bCs/>
                <w:sz w:val="20"/>
                <w:szCs w:val="20"/>
                <w:lang w:val="en-US"/>
              </w:rPr>
            </w:pPr>
            <w:r w:rsidRPr="00112DB6">
              <w:rPr>
                <w:rFonts w:cs="Times New Roman"/>
                <w:sz w:val="20"/>
                <w:szCs w:val="20"/>
                <w:lang w:val="en-US"/>
              </w:rPr>
              <w:t>96.9 (96.0-97.7)</w:t>
            </w:r>
          </w:p>
        </w:tc>
      </w:tr>
      <w:tr w:rsidR="0064507B" w:rsidRPr="00112DB6" w14:paraId="4D263BA0" w14:textId="77777777" w:rsidTr="009E51EE">
        <w:tc>
          <w:tcPr>
            <w:tcW w:w="3119" w:type="dxa"/>
            <w:tcBorders>
              <w:top w:val="single" w:sz="4" w:space="0" w:color="auto"/>
            </w:tcBorders>
            <w:vAlign w:val="bottom"/>
          </w:tcPr>
          <w:p w14:paraId="7AF44A63"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Nervous System</w:t>
            </w:r>
          </w:p>
        </w:tc>
        <w:tc>
          <w:tcPr>
            <w:tcW w:w="1276" w:type="dxa"/>
            <w:tcBorders>
              <w:top w:val="single" w:sz="4" w:space="0" w:color="auto"/>
            </w:tcBorders>
          </w:tcPr>
          <w:p w14:paraId="08D6B4B9"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tcBorders>
          </w:tcPr>
          <w:p w14:paraId="2FDFE151"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tcBorders>
            <w:vAlign w:val="bottom"/>
          </w:tcPr>
          <w:p w14:paraId="3AD3BE89"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tcBorders>
            <w:vAlign w:val="bottom"/>
          </w:tcPr>
          <w:p w14:paraId="68416D00"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tcBorders>
            <w:vAlign w:val="bottom"/>
          </w:tcPr>
          <w:p w14:paraId="30FF9409"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tcBorders>
            <w:vAlign w:val="bottom"/>
          </w:tcPr>
          <w:p w14:paraId="57DEDA7C"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tcBorders>
            <w:vAlign w:val="bottom"/>
          </w:tcPr>
          <w:p w14:paraId="1B70B040" w14:textId="77777777" w:rsidR="0064507B" w:rsidRPr="00112DB6" w:rsidRDefault="0064507B" w:rsidP="009E51EE">
            <w:pPr>
              <w:spacing w:before="0" w:after="0" w:line="360" w:lineRule="auto"/>
              <w:rPr>
                <w:rFonts w:cs="Times New Roman"/>
                <w:sz w:val="20"/>
                <w:szCs w:val="20"/>
                <w:lang w:val="en-US"/>
              </w:rPr>
            </w:pPr>
          </w:p>
        </w:tc>
      </w:tr>
      <w:tr w:rsidR="0064507B" w:rsidRPr="00112DB6" w14:paraId="40602EC6" w14:textId="77777777" w:rsidTr="009E51EE">
        <w:tc>
          <w:tcPr>
            <w:tcW w:w="3119" w:type="dxa"/>
            <w:vAlign w:val="bottom"/>
          </w:tcPr>
          <w:p w14:paraId="4ECA41B1"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Spina</w:t>
            </w:r>
            <w:proofErr w:type="spellEnd"/>
            <w:r w:rsidRPr="00112DB6">
              <w:rPr>
                <w:rFonts w:cs="Times New Roman"/>
                <w:sz w:val="20"/>
                <w:szCs w:val="20"/>
                <w:lang w:val="en-US"/>
              </w:rPr>
              <w:t xml:space="preserve"> bifida</w:t>
            </w:r>
          </w:p>
        </w:tc>
        <w:tc>
          <w:tcPr>
            <w:tcW w:w="1276" w:type="dxa"/>
            <w:vAlign w:val="bottom"/>
          </w:tcPr>
          <w:p w14:paraId="4046F19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370</w:t>
            </w:r>
          </w:p>
        </w:tc>
        <w:tc>
          <w:tcPr>
            <w:tcW w:w="1275" w:type="dxa"/>
            <w:vAlign w:val="bottom"/>
          </w:tcPr>
          <w:p w14:paraId="7CAF73A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w:t>
            </w:r>
          </w:p>
        </w:tc>
        <w:tc>
          <w:tcPr>
            <w:tcW w:w="1843" w:type="dxa"/>
            <w:vAlign w:val="bottom"/>
          </w:tcPr>
          <w:p w14:paraId="71F52EF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98.3 (96.8-99.7)</w:t>
            </w:r>
          </w:p>
        </w:tc>
        <w:tc>
          <w:tcPr>
            <w:tcW w:w="1985" w:type="dxa"/>
            <w:vAlign w:val="bottom"/>
          </w:tcPr>
          <w:p w14:paraId="66180E2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98.1 (96.6-99.6)</w:t>
            </w:r>
          </w:p>
        </w:tc>
        <w:tc>
          <w:tcPr>
            <w:tcW w:w="1842" w:type="dxa"/>
            <w:vAlign w:val="bottom"/>
          </w:tcPr>
          <w:p w14:paraId="43E3C63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97.4 (95.5-99.3)</w:t>
            </w:r>
          </w:p>
        </w:tc>
        <w:tc>
          <w:tcPr>
            <w:tcW w:w="1843" w:type="dxa"/>
            <w:vAlign w:val="bottom"/>
          </w:tcPr>
          <w:p w14:paraId="1437C98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96.7 (94.5-98.9)</w:t>
            </w:r>
          </w:p>
        </w:tc>
        <w:tc>
          <w:tcPr>
            <w:tcW w:w="1843" w:type="dxa"/>
            <w:vAlign w:val="bottom"/>
          </w:tcPr>
          <w:p w14:paraId="3B3A231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96.6 (94.4-98.9)</w:t>
            </w:r>
          </w:p>
        </w:tc>
      </w:tr>
      <w:tr w:rsidR="0064507B" w:rsidRPr="00112DB6" w14:paraId="4A3B7C94" w14:textId="77777777" w:rsidTr="009E51EE">
        <w:tc>
          <w:tcPr>
            <w:tcW w:w="3119" w:type="dxa"/>
            <w:vAlign w:val="bottom"/>
          </w:tcPr>
          <w:p w14:paraId="44EF357A"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 xml:space="preserve">Congenital hydrocephalus (excluding </w:t>
            </w:r>
            <w:proofErr w:type="spellStart"/>
            <w:r w:rsidRPr="00112DB6">
              <w:rPr>
                <w:rFonts w:cs="Times New Roman"/>
                <w:sz w:val="20"/>
                <w:szCs w:val="20"/>
                <w:lang w:val="en-US"/>
              </w:rPr>
              <w:t>spina</w:t>
            </w:r>
            <w:proofErr w:type="spellEnd"/>
            <w:r w:rsidRPr="00112DB6">
              <w:rPr>
                <w:rFonts w:cs="Times New Roman"/>
                <w:sz w:val="20"/>
                <w:szCs w:val="20"/>
                <w:lang w:val="en-US"/>
              </w:rPr>
              <w:t xml:space="preserve"> bifida)</w:t>
            </w:r>
          </w:p>
        </w:tc>
        <w:tc>
          <w:tcPr>
            <w:tcW w:w="1276" w:type="dxa"/>
            <w:vAlign w:val="bottom"/>
          </w:tcPr>
          <w:p w14:paraId="27E3511A" w14:textId="77777777" w:rsidR="0064507B" w:rsidRPr="00112DB6" w:rsidRDefault="0064507B" w:rsidP="009E51EE">
            <w:pPr>
              <w:spacing w:before="0" w:after="0" w:line="240" w:lineRule="auto"/>
              <w:jc w:val="center"/>
              <w:rPr>
                <w:rFonts w:cs="Times New Roman"/>
                <w:sz w:val="20"/>
                <w:szCs w:val="20"/>
                <w:lang w:val="en-US"/>
              </w:rPr>
            </w:pPr>
            <w:r w:rsidRPr="00112DB6">
              <w:rPr>
                <w:rFonts w:cs="Times New Roman"/>
                <w:sz w:val="20"/>
                <w:szCs w:val="20"/>
                <w:lang w:val="en-US"/>
              </w:rPr>
              <w:t>767</w:t>
            </w:r>
          </w:p>
        </w:tc>
        <w:tc>
          <w:tcPr>
            <w:tcW w:w="1275" w:type="dxa"/>
            <w:vAlign w:val="bottom"/>
          </w:tcPr>
          <w:p w14:paraId="56AB2CBC" w14:textId="77777777" w:rsidR="0064507B" w:rsidRPr="00112DB6" w:rsidRDefault="0064507B" w:rsidP="009E51EE">
            <w:pPr>
              <w:spacing w:before="0" w:after="0" w:line="240" w:lineRule="auto"/>
              <w:jc w:val="center"/>
              <w:rPr>
                <w:rFonts w:cs="Times New Roman"/>
                <w:sz w:val="20"/>
                <w:szCs w:val="20"/>
                <w:lang w:val="en-US"/>
              </w:rPr>
            </w:pPr>
            <w:r w:rsidRPr="00112DB6">
              <w:rPr>
                <w:rFonts w:cs="Times New Roman"/>
                <w:sz w:val="20"/>
                <w:szCs w:val="20"/>
                <w:lang w:val="en-US"/>
              </w:rPr>
              <w:t>59</w:t>
            </w:r>
          </w:p>
        </w:tc>
        <w:tc>
          <w:tcPr>
            <w:tcW w:w="1843" w:type="dxa"/>
            <w:vAlign w:val="bottom"/>
          </w:tcPr>
          <w:p w14:paraId="7FDFFD69" w14:textId="77777777" w:rsidR="0064507B" w:rsidRPr="00112DB6" w:rsidRDefault="0064507B" w:rsidP="009E51EE">
            <w:pPr>
              <w:spacing w:before="0" w:after="0" w:line="240" w:lineRule="auto"/>
              <w:rPr>
                <w:rFonts w:cs="Times New Roman"/>
                <w:sz w:val="20"/>
                <w:szCs w:val="20"/>
                <w:lang w:val="en-US"/>
              </w:rPr>
            </w:pPr>
            <w:r w:rsidRPr="00112DB6">
              <w:rPr>
                <w:rFonts w:cs="Times New Roman"/>
                <w:sz w:val="20"/>
                <w:szCs w:val="20"/>
                <w:lang w:val="en-US"/>
              </w:rPr>
              <w:t>97.5 (95.7-99.4)</w:t>
            </w:r>
          </w:p>
        </w:tc>
        <w:tc>
          <w:tcPr>
            <w:tcW w:w="1985" w:type="dxa"/>
            <w:vAlign w:val="bottom"/>
          </w:tcPr>
          <w:p w14:paraId="4F09B289" w14:textId="77777777" w:rsidR="0064507B" w:rsidRPr="00112DB6" w:rsidRDefault="0064507B" w:rsidP="009E51EE">
            <w:pPr>
              <w:spacing w:before="0" w:after="0" w:line="240" w:lineRule="auto"/>
              <w:rPr>
                <w:rFonts w:cs="Times New Roman"/>
                <w:sz w:val="20"/>
                <w:szCs w:val="20"/>
                <w:lang w:val="en-US"/>
              </w:rPr>
            </w:pPr>
            <w:r w:rsidRPr="00112DB6">
              <w:rPr>
                <w:rFonts w:cs="Times New Roman"/>
                <w:sz w:val="20"/>
                <w:szCs w:val="20"/>
                <w:lang w:val="en-US"/>
              </w:rPr>
              <w:t>97.2 (95.1-99.3)</w:t>
            </w:r>
          </w:p>
        </w:tc>
        <w:tc>
          <w:tcPr>
            <w:tcW w:w="1842" w:type="dxa"/>
            <w:vAlign w:val="bottom"/>
          </w:tcPr>
          <w:p w14:paraId="42130251" w14:textId="77777777" w:rsidR="0064507B" w:rsidRPr="00112DB6" w:rsidRDefault="0064507B" w:rsidP="009E51EE">
            <w:pPr>
              <w:spacing w:before="0" w:after="0" w:line="240" w:lineRule="auto"/>
              <w:rPr>
                <w:rFonts w:cs="Times New Roman"/>
                <w:sz w:val="20"/>
                <w:szCs w:val="20"/>
                <w:lang w:val="en-US"/>
              </w:rPr>
            </w:pPr>
            <w:r w:rsidRPr="00112DB6">
              <w:rPr>
                <w:rFonts w:cs="Times New Roman"/>
                <w:sz w:val="20"/>
                <w:szCs w:val="20"/>
                <w:lang w:val="en-US"/>
              </w:rPr>
              <w:t>95.2 (92.2-98.3)</w:t>
            </w:r>
          </w:p>
        </w:tc>
        <w:tc>
          <w:tcPr>
            <w:tcW w:w="1843" w:type="dxa"/>
            <w:vAlign w:val="bottom"/>
          </w:tcPr>
          <w:p w14:paraId="6E4CC161" w14:textId="77777777" w:rsidR="0064507B" w:rsidRPr="00112DB6" w:rsidRDefault="0064507B" w:rsidP="009E51EE">
            <w:pPr>
              <w:spacing w:before="0" w:after="0" w:line="240" w:lineRule="auto"/>
              <w:rPr>
                <w:rFonts w:cs="Times New Roman"/>
                <w:sz w:val="20"/>
                <w:szCs w:val="20"/>
                <w:lang w:val="en-US"/>
              </w:rPr>
            </w:pPr>
            <w:r w:rsidRPr="00112DB6">
              <w:rPr>
                <w:rFonts w:cs="Times New Roman"/>
                <w:sz w:val="20"/>
                <w:szCs w:val="20"/>
                <w:lang w:val="en-US"/>
              </w:rPr>
              <w:t>94.1 (90.4-98.0)</w:t>
            </w:r>
          </w:p>
        </w:tc>
        <w:tc>
          <w:tcPr>
            <w:tcW w:w="1843" w:type="dxa"/>
            <w:vAlign w:val="bottom"/>
          </w:tcPr>
          <w:p w14:paraId="11A38BEB" w14:textId="77777777" w:rsidR="0064507B" w:rsidRPr="00112DB6" w:rsidRDefault="0064507B" w:rsidP="009E51EE">
            <w:pPr>
              <w:spacing w:before="0" w:after="0" w:line="240" w:lineRule="auto"/>
              <w:rPr>
                <w:rFonts w:cs="Times New Roman"/>
                <w:sz w:val="20"/>
                <w:szCs w:val="20"/>
                <w:lang w:val="en-US"/>
              </w:rPr>
            </w:pPr>
            <w:r w:rsidRPr="00112DB6">
              <w:rPr>
                <w:rFonts w:cs="Times New Roman"/>
                <w:sz w:val="20"/>
                <w:szCs w:val="20"/>
                <w:lang w:val="en-US"/>
              </w:rPr>
              <w:t>92.9 (88.2-97.9)</w:t>
            </w:r>
          </w:p>
        </w:tc>
      </w:tr>
      <w:tr w:rsidR="0064507B" w:rsidRPr="00112DB6" w14:paraId="66F8F460" w14:textId="77777777" w:rsidTr="009E51EE">
        <w:tc>
          <w:tcPr>
            <w:tcW w:w="3119" w:type="dxa"/>
            <w:vAlign w:val="bottom"/>
          </w:tcPr>
          <w:p w14:paraId="67271B2C"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 xml:space="preserve">Severe </w:t>
            </w:r>
            <w:proofErr w:type="spellStart"/>
            <w:r w:rsidRPr="00112DB6">
              <w:rPr>
                <w:rFonts w:cs="Times New Roman"/>
                <w:sz w:val="20"/>
                <w:szCs w:val="20"/>
                <w:lang w:val="en-US"/>
              </w:rPr>
              <w:t>microcephaly</w:t>
            </w:r>
            <w:r w:rsidRPr="00112DB6">
              <w:rPr>
                <w:rFonts w:cs="Times New Roman"/>
                <w:szCs w:val="24"/>
                <w:vertAlign w:val="superscript"/>
                <w:lang w:val="en-US"/>
              </w:rPr>
              <w:t>b</w:t>
            </w:r>
            <w:proofErr w:type="spellEnd"/>
          </w:p>
        </w:tc>
        <w:tc>
          <w:tcPr>
            <w:tcW w:w="1276" w:type="dxa"/>
            <w:vAlign w:val="bottom"/>
          </w:tcPr>
          <w:p w14:paraId="624A45E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361</w:t>
            </w:r>
          </w:p>
        </w:tc>
        <w:tc>
          <w:tcPr>
            <w:tcW w:w="1275" w:type="dxa"/>
            <w:vAlign w:val="bottom"/>
          </w:tcPr>
          <w:p w14:paraId="5669278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19</w:t>
            </w:r>
          </w:p>
        </w:tc>
        <w:tc>
          <w:tcPr>
            <w:tcW w:w="1843" w:type="dxa"/>
            <w:vAlign w:val="bottom"/>
          </w:tcPr>
          <w:p w14:paraId="1B1E5A1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99.0 (97.6-100.0)</w:t>
            </w:r>
          </w:p>
        </w:tc>
        <w:tc>
          <w:tcPr>
            <w:tcW w:w="1985" w:type="dxa"/>
            <w:vAlign w:val="bottom"/>
          </w:tcPr>
          <w:p w14:paraId="7673A58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98.4 (96.7-100.0)</w:t>
            </w:r>
          </w:p>
        </w:tc>
        <w:tc>
          <w:tcPr>
            <w:tcW w:w="1842" w:type="dxa"/>
            <w:vAlign w:val="bottom"/>
          </w:tcPr>
          <w:p w14:paraId="4DA1550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97.2 (94.5-100.0)</w:t>
            </w:r>
          </w:p>
        </w:tc>
        <w:tc>
          <w:tcPr>
            <w:tcW w:w="1843" w:type="dxa"/>
            <w:vAlign w:val="bottom"/>
          </w:tcPr>
          <w:p w14:paraId="4148B20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96.5 (93.5-99.7)</w:t>
            </w:r>
          </w:p>
        </w:tc>
        <w:tc>
          <w:tcPr>
            <w:tcW w:w="1843" w:type="dxa"/>
            <w:vAlign w:val="bottom"/>
          </w:tcPr>
          <w:p w14:paraId="1CE3B73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95.7 (92.2-99.4)</w:t>
            </w:r>
          </w:p>
        </w:tc>
      </w:tr>
      <w:tr w:rsidR="0064507B" w:rsidRPr="00112DB6" w14:paraId="184F4F87" w14:textId="77777777" w:rsidTr="009E51EE">
        <w:tc>
          <w:tcPr>
            <w:tcW w:w="3119" w:type="dxa"/>
            <w:tcBorders>
              <w:bottom w:val="single" w:sz="4" w:space="0" w:color="auto"/>
            </w:tcBorders>
            <w:vAlign w:val="bottom"/>
          </w:tcPr>
          <w:p w14:paraId="77C3EB93"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Eye</w:t>
            </w:r>
          </w:p>
        </w:tc>
        <w:tc>
          <w:tcPr>
            <w:tcW w:w="1276" w:type="dxa"/>
            <w:tcBorders>
              <w:bottom w:val="single" w:sz="4" w:space="0" w:color="auto"/>
            </w:tcBorders>
          </w:tcPr>
          <w:p w14:paraId="32316B67"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bottom w:val="single" w:sz="4" w:space="0" w:color="auto"/>
            </w:tcBorders>
          </w:tcPr>
          <w:p w14:paraId="2CF211C8"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bottom w:val="single" w:sz="4" w:space="0" w:color="auto"/>
            </w:tcBorders>
            <w:vAlign w:val="bottom"/>
          </w:tcPr>
          <w:p w14:paraId="5DA0E472" w14:textId="77777777" w:rsidR="0064507B" w:rsidRPr="00112DB6" w:rsidRDefault="0064507B" w:rsidP="009E51EE">
            <w:pPr>
              <w:spacing w:before="0" w:after="0" w:line="360" w:lineRule="auto"/>
              <w:rPr>
                <w:rFonts w:cs="Times New Roman"/>
                <w:sz w:val="20"/>
                <w:szCs w:val="20"/>
                <w:lang w:val="en-US"/>
              </w:rPr>
            </w:pPr>
          </w:p>
        </w:tc>
        <w:tc>
          <w:tcPr>
            <w:tcW w:w="1985" w:type="dxa"/>
            <w:tcBorders>
              <w:bottom w:val="single" w:sz="4" w:space="0" w:color="auto"/>
            </w:tcBorders>
            <w:vAlign w:val="bottom"/>
          </w:tcPr>
          <w:p w14:paraId="0068CB80" w14:textId="77777777" w:rsidR="0064507B" w:rsidRPr="00112DB6" w:rsidRDefault="0064507B" w:rsidP="009E51EE">
            <w:pPr>
              <w:spacing w:before="0" w:after="0" w:line="360" w:lineRule="auto"/>
              <w:rPr>
                <w:rFonts w:cs="Times New Roman"/>
                <w:sz w:val="20"/>
                <w:szCs w:val="20"/>
                <w:lang w:val="en-US"/>
              </w:rPr>
            </w:pPr>
          </w:p>
        </w:tc>
        <w:tc>
          <w:tcPr>
            <w:tcW w:w="1842" w:type="dxa"/>
            <w:tcBorders>
              <w:bottom w:val="single" w:sz="4" w:space="0" w:color="auto"/>
            </w:tcBorders>
            <w:vAlign w:val="bottom"/>
          </w:tcPr>
          <w:p w14:paraId="4F53980F" w14:textId="77777777" w:rsidR="0064507B" w:rsidRPr="00112DB6" w:rsidRDefault="0064507B" w:rsidP="009E51EE">
            <w:pPr>
              <w:spacing w:before="0" w:after="0" w:line="360" w:lineRule="auto"/>
              <w:rPr>
                <w:rFonts w:cs="Times New Roman"/>
                <w:sz w:val="20"/>
                <w:szCs w:val="20"/>
                <w:lang w:val="en-US"/>
              </w:rPr>
            </w:pPr>
          </w:p>
        </w:tc>
        <w:tc>
          <w:tcPr>
            <w:tcW w:w="1843" w:type="dxa"/>
            <w:tcBorders>
              <w:bottom w:val="single" w:sz="4" w:space="0" w:color="auto"/>
            </w:tcBorders>
            <w:vAlign w:val="bottom"/>
          </w:tcPr>
          <w:p w14:paraId="54FD57E2" w14:textId="77777777" w:rsidR="0064507B" w:rsidRPr="00112DB6" w:rsidRDefault="0064507B" w:rsidP="009E51EE">
            <w:pPr>
              <w:spacing w:before="0" w:after="0" w:line="360" w:lineRule="auto"/>
              <w:rPr>
                <w:rFonts w:cs="Times New Roman"/>
                <w:sz w:val="20"/>
                <w:szCs w:val="20"/>
                <w:lang w:val="en-US"/>
              </w:rPr>
            </w:pPr>
          </w:p>
        </w:tc>
        <w:tc>
          <w:tcPr>
            <w:tcW w:w="1843" w:type="dxa"/>
            <w:tcBorders>
              <w:bottom w:val="single" w:sz="4" w:space="0" w:color="auto"/>
            </w:tcBorders>
            <w:vAlign w:val="bottom"/>
          </w:tcPr>
          <w:p w14:paraId="16215890" w14:textId="77777777" w:rsidR="0064507B" w:rsidRPr="00112DB6" w:rsidRDefault="0064507B" w:rsidP="009E51EE">
            <w:pPr>
              <w:spacing w:before="0" w:after="0" w:line="360" w:lineRule="auto"/>
              <w:rPr>
                <w:rFonts w:cs="Times New Roman"/>
                <w:sz w:val="20"/>
                <w:szCs w:val="20"/>
                <w:lang w:val="en-US"/>
              </w:rPr>
            </w:pPr>
          </w:p>
        </w:tc>
      </w:tr>
      <w:tr w:rsidR="0064507B" w:rsidRPr="00112DB6" w14:paraId="2B998354" w14:textId="77777777" w:rsidTr="009E51EE">
        <w:tc>
          <w:tcPr>
            <w:tcW w:w="3119" w:type="dxa"/>
            <w:tcBorders>
              <w:top w:val="single" w:sz="4" w:space="0" w:color="auto"/>
              <w:bottom w:val="single" w:sz="4" w:space="0" w:color="auto"/>
            </w:tcBorders>
            <w:vAlign w:val="bottom"/>
          </w:tcPr>
          <w:p w14:paraId="35AA9EE6"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Congenital cataract</w:t>
            </w:r>
          </w:p>
        </w:tc>
        <w:tc>
          <w:tcPr>
            <w:tcW w:w="1276" w:type="dxa"/>
            <w:tcBorders>
              <w:top w:val="single" w:sz="4" w:space="0" w:color="auto"/>
              <w:bottom w:val="single" w:sz="4" w:space="0" w:color="auto"/>
            </w:tcBorders>
            <w:vAlign w:val="bottom"/>
          </w:tcPr>
          <w:p w14:paraId="6D9EA18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560</w:t>
            </w:r>
          </w:p>
        </w:tc>
        <w:tc>
          <w:tcPr>
            <w:tcW w:w="1275" w:type="dxa"/>
            <w:tcBorders>
              <w:top w:val="single" w:sz="4" w:space="0" w:color="auto"/>
              <w:bottom w:val="single" w:sz="4" w:space="0" w:color="auto"/>
            </w:tcBorders>
            <w:vAlign w:val="bottom"/>
          </w:tcPr>
          <w:p w14:paraId="79A7152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w:t>
            </w:r>
          </w:p>
        </w:tc>
        <w:tc>
          <w:tcPr>
            <w:tcW w:w="1843" w:type="dxa"/>
            <w:tcBorders>
              <w:top w:val="single" w:sz="4" w:space="0" w:color="auto"/>
              <w:bottom w:val="single" w:sz="4" w:space="0" w:color="auto"/>
            </w:tcBorders>
            <w:vAlign w:val="bottom"/>
          </w:tcPr>
          <w:p w14:paraId="19E2544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(99.5-100.0)</w:t>
            </w:r>
          </w:p>
        </w:tc>
        <w:tc>
          <w:tcPr>
            <w:tcW w:w="1985" w:type="dxa"/>
            <w:tcBorders>
              <w:top w:val="single" w:sz="4" w:space="0" w:color="auto"/>
              <w:bottom w:val="single" w:sz="4" w:space="0" w:color="auto"/>
            </w:tcBorders>
            <w:vAlign w:val="bottom"/>
          </w:tcPr>
          <w:p w14:paraId="1AC6FD2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(99.3-100.0)</w:t>
            </w:r>
          </w:p>
        </w:tc>
        <w:tc>
          <w:tcPr>
            <w:tcW w:w="1842" w:type="dxa"/>
            <w:tcBorders>
              <w:top w:val="single" w:sz="4" w:space="0" w:color="auto"/>
              <w:bottom w:val="single" w:sz="4" w:space="0" w:color="auto"/>
            </w:tcBorders>
            <w:vAlign w:val="bottom"/>
          </w:tcPr>
          <w:p w14:paraId="5EEBB70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(99.0-100.0)</w:t>
            </w:r>
          </w:p>
        </w:tc>
        <w:tc>
          <w:tcPr>
            <w:tcW w:w="1843" w:type="dxa"/>
            <w:tcBorders>
              <w:top w:val="single" w:sz="4" w:space="0" w:color="auto"/>
              <w:bottom w:val="single" w:sz="4" w:space="0" w:color="auto"/>
            </w:tcBorders>
            <w:vAlign w:val="bottom"/>
          </w:tcPr>
          <w:p w14:paraId="13DAA32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(98.4-100.0)</w:t>
            </w:r>
          </w:p>
        </w:tc>
        <w:tc>
          <w:tcPr>
            <w:tcW w:w="1843" w:type="dxa"/>
            <w:tcBorders>
              <w:top w:val="single" w:sz="4" w:space="0" w:color="auto"/>
              <w:bottom w:val="single" w:sz="4" w:space="0" w:color="auto"/>
            </w:tcBorders>
            <w:vAlign w:val="bottom"/>
          </w:tcPr>
          <w:p w14:paraId="45B0D2F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(98.4-100.0)</w:t>
            </w:r>
          </w:p>
        </w:tc>
      </w:tr>
      <w:tr w:rsidR="0064507B" w:rsidRPr="00112DB6" w14:paraId="46E7EEC1" w14:textId="77777777" w:rsidTr="009E51EE">
        <w:tc>
          <w:tcPr>
            <w:tcW w:w="3119" w:type="dxa"/>
            <w:tcBorders>
              <w:top w:val="single" w:sz="4" w:space="0" w:color="auto"/>
              <w:bottom w:val="single" w:sz="4" w:space="0" w:color="auto"/>
            </w:tcBorders>
            <w:vAlign w:val="bottom"/>
          </w:tcPr>
          <w:p w14:paraId="3B4FF932"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Congenital Heart Defects (CHD)</w:t>
            </w:r>
          </w:p>
        </w:tc>
        <w:tc>
          <w:tcPr>
            <w:tcW w:w="1276" w:type="dxa"/>
            <w:tcBorders>
              <w:top w:val="single" w:sz="4" w:space="0" w:color="auto"/>
              <w:bottom w:val="single" w:sz="4" w:space="0" w:color="auto"/>
            </w:tcBorders>
          </w:tcPr>
          <w:p w14:paraId="0617B82D"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570154FD"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926420D"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7BC0EC3F"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333432EF"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7492D303"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3FB61246" w14:textId="77777777" w:rsidR="0064507B" w:rsidRPr="00112DB6" w:rsidRDefault="0064507B" w:rsidP="009E51EE">
            <w:pPr>
              <w:spacing w:before="0" w:after="0" w:line="360" w:lineRule="auto"/>
              <w:rPr>
                <w:rFonts w:cs="Times New Roman"/>
                <w:sz w:val="20"/>
                <w:szCs w:val="20"/>
                <w:lang w:val="en-US"/>
              </w:rPr>
            </w:pPr>
          </w:p>
        </w:tc>
      </w:tr>
      <w:tr w:rsidR="0064507B" w:rsidRPr="00112DB6" w14:paraId="305B10F1" w14:textId="77777777" w:rsidTr="009E51EE">
        <w:tc>
          <w:tcPr>
            <w:tcW w:w="3119" w:type="dxa"/>
            <w:tcBorders>
              <w:top w:val="single" w:sz="4" w:space="0" w:color="auto"/>
              <w:bottom w:val="single" w:sz="4" w:space="0" w:color="auto"/>
            </w:tcBorders>
            <w:vAlign w:val="bottom"/>
          </w:tcPr>
          <w:p w14:paraId="4ABF4E76"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All CHD</w:t>
            </w:r>
          </w:p>
        </w:tc>
        <w:tc>
          <w:tcPr>
            <w:tcW w:w="1276" w:type="dxa"/>
            <w:tcBorders>
              <w:top w:val="single" w:sz="4" w:space="0" w:color="auto"/>
              <w:bottom w:val="single" w:sz="4" w:space="0" w:color="auto"/>
            </w:tcBorders>
            <w:vAlign w:val="bottom"/>
          </w:tcPr>
          <w:p w14:paraId="2831D15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27 654</w:t>
            </w:r>
          </w:p>
        </w:tc>
        <w:tc>
          <w:tcPr>
            <w:tcW w:w="1275" w:type="dxa"/>
            <w:tcBorders>
              <w:top w:val="single" w:sz="4" w:space="0" w:color="auto"/>
              <w:bottom w:val="single" w:sz="4" w:space="0" w:color="auto"/>
            </w:tcBorders>
            <w:vAlign w:val="bottom"/>
          </w:tcPr>
          <w:p w14:paraId="1A39EE7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951</w:t>
            </w:r>
          </w:p>
        </w:tc>
        <w:tc>
          <w:tcPr>
            <w:tcW w:w="1843" w:type="dxa"/>
            <w:tcBorders>
              <w:top w:val="single" w:sz="4" w:space="0" w:color="auto"/>
              <w:bottom w:val="single" w:sz="4" w:space="0" w:color="auto"/>
            </w:tcBorders>
            <w:vAlign w:val="bottom"/>
          </w:tcPr>
          <w:p w14:paraId="3B7D697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98.8 (98.5-99.2)</w:t>
            </w:r>
          </w:p>
        </w:tc>
        <w:tc>
          <w:tcPr>
            <w:tcW w:w="1985" w:type="dxa"/>
            <w:tcBorders>
              <w:top w:val="single" w:sz="4" w:space="0" w:color="auto"/>
              <w:bottom w:val="single" w:sz="4" w:space="0" w:color="auto"/>
            </w:tcBorders>
            <w:vAlign w:val="bottom"/>
          </w:tcPr>
          <w:p w14:paraId="5543390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97.6 (96.8-98.4)</w:t>
            </w:r>
          </w:p>
        </w:tc>
        <w:tc>
          <w:tcPr>
            <w:tcW w:w="1842" w:type="dxa"/>
            <w:tcBorders>
              <w:top w:val="single" w:sz="4" w:space="0" w:color="auto"/>
              <w:bottom w:val="single" w:sz="4" w:space="0" w:color="auto"/>
            </w:tcBorders>
            <w:vAlign w:val="bottom"/>
          </w:tcPr>
          <w:p w14:paraId="0EF033C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95.9 (94.4-97.3)</w:t>
            </w:r>
          </w:p>
        </w:tc>
        <w:tc>
          <w:tcPr>
            <w:tcW w:w="1843" w:type="dxa"/>
            <w:tcBorders>
              <w:top w:val="single" w:sz="4" w:space="0" w:color="auto"/>
              <w:bottom w:val="single" w:sz="4" w:space="0" w:color="auto"/>
            </w:tcBorders>
            <w:vAlign w:val="bottom"/>
          </w:tcPr>
          <w:p w14:paraId="2FFF893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95.4 (93.8-97.1)</w:t>
            </w:r>
          </w:p>
        </w:tc>
        <w:tc>
          <w:tcPr>
            <w:tcW w:w="1843" w:type="dxa"/>
            <w:tcBorders>
              <w:top w:val="single" w:sz="4" w:space="0" w:color="auto"/>
              <w:bottom w:val="single" w:sz="4" w:space="0" w:color="auto"/>
            </w:tcBorders>
            <w:vAlign w:val="bottom"/>
          </w:tcPr>
          <w:p w14:paraId="79403C6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95.3 (93.7-97.0)</w:t>
            </w:r>
          </w:p>
        </w:tc>
      </w:tr>
      <w:tr w:rsidR="0064507B" w:rsidRPr="00112DB6" w14:paraId="07F18993" w14:textId="77777777" w:rsidTr="009E51EE">
        <w:tc>
          <w:tcPr>
            <w:tcW w:w="3119" w:type="dxa"/>
            <w:tcBorders>
              <w:top w:val="single" w:sz="4" w:space="0" w:color="auto"/>
              <w:bottom w:val="single" w:sz="4" w:space="0" w:color="auto"/>
            </w:tcBorders>
            <w:vAlign w:val="bottom"/>
          </w:tcPr>
          <w:p w14:paraId="30A5C465"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 xml:space="preserve">Severe </w:t>
            </w:r>
            <w:proofErr w:type="spellStart"/>
            <w:r w:rsidRPr="00112DB6">
              <w:rPr>
                <w:rFonts w:cs="Times New Roman"/>
                <w:sz w:val="20"/>
                <w:szCs w:val="20"/>
                <w:lang w:val="en-US"/>
              </w:rPr>
              <w:t>CHD</w:t>
            </w:r>
            <w:r w:rsidRPr="00112DB6">
              <w:rPr>
                <w:rFonts w:cs="Times New Roman"/>
                <w:szCs w:val="24"/>
                <w:vertAlign w:val="superscript"/>
                <w:lang w:val="en-US"/>
              </w:rPr>
              <w:t>c</w:t>
            </w:r>
            <w:proofErr w:type="spellEnd"/>
          </w:p>
        </w:tc>
        <w:tc>
          <w:tcPr>
            <w:tcW w:w="1276" w:type="dxa"/>
            <w:tcBorders>
              <w:top w:val="single" w:sz="4" w:space="0" w:color="auto"/>
              <w:bottom w:val="single" w:sz="4" w:space="0" w:color="auto"/>
            </w:tcBorders>
            <w:vAlign w:val="bottom"/>
          </w:tcPr>
          <w:p w14:paraId="626C1E2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5932</w:t>
            </w:r>
          </w:p>
        </w:tc>
        <w:tc>
          <w:tcPr>
            <w:tcW w:w="1275" w:type="dxa"/>
            <w:tcBorders>
              <w:top w:val="single" w:sz="4" w:space="0" w:color="auto"/>
              <w:bottom w:val="single" w:sz="4" w:space="0" w:color="auto"/>
            </w:tcBorders>
            <w:vAlign w:val="bottom"/>
          </w:tcPr>
          <w:p w14:paraId="68CE62C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718</w:t>
            </w:r>
          </w:p>
        </w:tc>
        <w:tc>
          <w:tcPr>
            <w:tcW w:w="1843" w:type="dxa"/>
            <w:tcBorders>
              <w:top w:val="single" w:sz="4" w:space="0" w:color="auto"/>
              <w:bottom w:val="single" w:sz="4" w:space="0" w:color="auto"/>
            </w:tcBorders>
            <w:vAlign w:val="bottom"/>
          </w:tcPr>
          <w:p w14:paraId="50AFB87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96.5 (95.7-97.3)</w:t>
            </w:r>
          </w:p>
        </w:tc>
        <w:tc>
          <w:tcPr>
            <w:tcW w:w="1985" w:type="dxa"/>
            <w:tcBorders>
              <w:top w:val="single" w:sz="4" w:space="0" w:color="auto"/>
              <w:bottom w:val="single" w:sz="4" w:space="0" w:color="auto"/>
            </w:tcBorders>
            <w:vAlign w:val="bottom"/>
          </w:tcPr>
          <w:p w14:paraId="0043AC9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92.7 (91.4-94.1)</w:t>
            </w:r>
          </w:p>
        </w:tc>
        <w:tc>
          <w:tcPr>
            <w:tcW w:w="1842" w:type="dxa"/>
            <w:tcBorders>
              <w:top w:val="single" w:sz="4" w:space="0" w:color="auto"/>
              <w:bottom w:val="single" w:sz="4" w:space="0" w:color="auto"/>
            </w:tcBorders>
            <w:vAlign w:val="bottom"/>
          </w:tcPr>
          <w:p w14:paraId="3F40885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88.2 (86.1-90.3)</w:t>
            </w:r>
          </w:p>
        </w:tc>
        <w:tc>
          <w:tcPr>
            <w:tcW w:w="1843" w:type="dxa"/>
            <w:tcBorders>
              <w:top w:val="single" w:sz="4" w:space="0" w:color="auto"/>
              <w:bottom w:val="single" w:sz="4" w:space="0" w:color="auto"/>
            </w:tcBorders>
            <w:vAlign w:val="bottom"/>
          </w:tcPr>
          <w:p w14:paraId="29BABAD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87.1 (84.8-89.5)</w:t>
            </w:r>
          </w:p>
        </w:tc>
        <w:tc>
          <w:tcPr>
            <w:tcW w:w="1843" w:type="dxa"/>
            <w:tcBorders>
              <w:top w:val="single" w:sz="4" w:space="0" w:color="auto"/>
              <w:bottom w:val="single" w:sz="4" w:space="0" w:color="auto"/>
            </w:tcBorders>
            <w:vAlign w:val="bottom"/>
          </w:tcPr>
          <w:p w14:paraId="7B9E6E1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86.7 (84.3-89.3)</w:t>
            </w:r>
          </w:p>
        </w:tc>
      </w:tr>
      <w:tr w:rsidR="0064507B" w:rsidRPr="00112DB6" w14:paraId="57B5FD42" w14:textId="77777777" w:rsidTr="009E51EE">
        <w:tc>
          <w:tcPr>
            <w:tcW w:w="3119" w:type="dxa"/>
            <w:tcBorders>
              <w:top w:val="single" w:sz="4" w:space="0" w:color="auto"/>
              <w:bottom w:val="single" w:sz="4" w:space="0" w:color="auto"/>
            </w:tcBorders>
            <w:vAlign w:val="bottom"/>
          </w:tcPr>
          <w:p w14:paraId="58378892"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Transposition of great vessels</w:t>
            </w:r>
          </w:p>
        </w:tc>
        <w:tc>
          <w:tcPr>
            <w:tcW w:w="1276" w:type="dxa"/>
            <w:tcBorders>
              <w:top w:val="single" w:sz="4" w:space="0" w:color="auto"/>
              <w:bottom w:val="single" w:sz="4" w:space="0" w:color="auto"/>
            </w:tcBorders>
            <w:vAlign w:val="bottom"/>
          </w:tcPr>
          <w:p w14:paraId="657F1D6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1131</w:t>
            </w:r>
          </w:p>
        </w:tc>
        <w:tc>
          <w:tcPr>
            <w:tcW w:w="1275" w:type="dxa"/>
            <w:tcBorders>
              <w:top w:val="single" w:sz="4" w:space="0" w:color="auto"/>
              <w:bottom w:val="single" w:sz="4" w:space="0" w:color="auto"/>
            </w:tcBorders>
            <w:vAlign w:val="bottom"/>
          </w:tcPr>
          <w:p w14:paraId="58980CD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108</w:t>
            </w:r>
          </w:p>
        </w:tc>
        <w:tc>
          <w:tcPr>
            <w:tcW w:w="1843" w:type="dxa"/>
            <w:tcBorders>
              <w:top w:val="single" w:sz="4" w:space="0" w:color="auto"/>
              <w:bottom w:val="single" w:sz="4" w:space="0" w:color="auto"/>
            </w:tcBorders>
            <w:vAlign w:val="bottom"/>
          </w:tcPr>
          <w:p w14:paraId="5C31DA8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97.5 (96.2-98.7)</w:t>
            </w:r>
          </w:p>
        </w:tc>
        <w:tc>
          <w:tcPr>
            <w:tcW w:w="1985" w:type="dxa"/>
            <w:tcBorders>
              <w:top w:val="single" w:sz="4" w:space="0" w:color="auto"/>
              <w:bottom w:val="single" w:sz="4" w:space="0" w:color="auto"/>
            </w:tcBorders>
            <w:vAlign w:val="bottom"/>
          </w:tcPr>
          <w:p w14:paraId="7F98D33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94.4 (92.1-96.7)</w:t>
            </w:r>
          </w:p>
        </w:tc>
        <w:tc>
          <w:tcPr>
            <w:tcW w:w="1842" w:type="dxa"/>
            <w:tcBorders>
              <w:top w:val="single" w:sz="4" w:space="0" w:color="auto"/>
              <w:bottom w:val="single" w:sz="4" w:space="0" w:color="auto"/>
            </w:tcBorders>
            <w:vAlign w:val="bottom"/>
          </w:tcPr>
          <w:p w14:paraId="24EAE57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92.5 (89.9-95.3)</w:t>
            </w:r>
          </w:p>
        </w:tc>
        <w:tc>
          <w:tcPr>
            <w:tcW w:w="1843" w:type="dxa"/>
            <w:tcBorders>
              <w:top w:val="single" w:sz="4" w:space="0" w:color="auto"/>
              <w:bottom w:val="single" w:sz="4" w:space="0" w:color="auto"/>
            </w:tcBorders>
            <w:vAlign w:val="bottom"/>
          </w:tcPr>
          <w:p w14:paraId="62716749"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91.9 (88.9-95.0)</w:t>
            </w:r>
          </w:p>
        </w:tc>
        <w:tc>
          <w:tcPr>
            <w:tcW w:w="1843" w:type="dxa"/>
            <w:tcBorders>
              <w:top w:val="single" w:sz="4" w:space="0" w:color="auto"/>
              <w:bottom w:val="single" w:sz="4" w:space="0" w:color="auto"/>
            </w:tcBorders>
            <w:vAlign w:val="bottom"/>
          </w:tcPr>
          <w:p w14:paraId="339434A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91.7 (88.7-94.9)</w:t>
            </w:r>
          </w:p>
        </w:tc>
      </w:tr>
      <w:tr w:rsidR="0064507B" w:rsidRPr="00112DB6" w14:paraId="3FFA20AC" w14:textId="77777777" w:rsidTr="009E51EE">
        <w:tc>
          <w:tcPr>
            <w:tcW w:w="3119" w:type="dxa"/>
            <w:tcBorders>
              <w:top w:val="single" w:sz="4" w:space="0" w:color="auto"/>
              <w:bottom w:val="single" w:sz="4" w:space="0" w:color="auto"/>
            </w:tcBorders>
            <w:vAlign w:val="bottom"/>
          </w:tcPr>
          <w:p w14:paraId="7BC1A517" w14:textId="77777777" w:rsidR="0064507B" w:rsidRPr="00112DB6" w:rsidRDefault="0064507B" w:rsidP="009E51EE">
            <w:pPr>
              <w:spacing w:before="0" w:after="0" w:line="360" w:lineRule="auto"/>
              <w:ind w:left="170"/>
              <w:rPr>
                <w:rFonts w:cs="Times New Roman"/>
                <w:sz w:val="20"/>
                <w:szCs w:val="20"/>
                <w:lang w:val="en-US"/>
              </w:rPr>
            </w:pPr>
            <w:r w:rsidRPr="00112DB6">
              <w:rPr>
                <w:rFonts w:eastAsiaTheme="minorHAnsi" w:cs="Times New Roman"/>
                <w:sz w:val="20"/>
                <w:szCs w:val="20"/>
                <w:lang w:val="en-US"/>
              </w:rPr>
              <w:t>Ventricular septal defect</w:t>
            </w:r>
          </w:p>
        </w:tc>
        <w:tc>
          <w:tcPr>
            <w:tcW w:w="1276" w:type="dxa"/>
            <w:tcBorders>
              <w:top w:val="single" w:sz="4" w:space="0" w:color="auto"/>
              <w:bottom w:val="single" w:sz="4" w:space="0" w:color="auto"/>
            </w:tcBorders>
            <w:vAlign w:val="bottom"/>
          </w:tcPr>
          <w:p w14:paraId="4EE7549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15 990</w:t>
            </w:r>
          </w:p>
        </w:tc>
        <w:tc>
          <w:tcPr>
            <w:tcW w:w="1275" w:type="dxa"/>
            <w:tcBorders>
              <w:top w:val="single" w:sz="4" w:space="0" w:color="auto"/>
              <w:bottom w:val="single" w:sz="4" w:space="0" w:color="auto"/>
            </w:tcBorders>
            <w:vAlign w:val="bottom"/>
          </w:tcPr>
          <w:p w14:paraId="1BA4509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255</w:t>
            </w:r>
          </w:p>
        </w:tc>
        <w:tc>
          <w:tcPr>
            <w:tcW w:w="1843" w:type="dxa"/>
            <w:tcBorders>
              <w:top w:val="single" w:sz="4" w:space="0" w:color="auto"/>
              <w:bottom w:val="single" w:sz="4" w:space="0" w:color="auto"/>
            </w:tcBorders>
            <w:vAlign w:val="bottom"/>
          </w:tcPr>
          <w:p w14:paraId="09B370E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(99.6-99.9)</w:t>
            </w:r>
          </w:p>
        </w:tc>
        <w:tc>
          <w:tcPr>
            <w:tcW w:w="1985" w:type="dxa"/>
            <w:tcBorders>
              <w:top w:val="single" w:sz="4" w:space="0" w:color="auto"/>
              <w:bottom w:val="single" w:sz="4" w:space="0" w:color="auto"/>
            </w:tcBorders>
            <w:vAlign w:val="bottom"/>
          </w:tcPr>
          <w:p w14:paraId="43FEA6B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(99.0-99.7)</w:t>
            </w:r>
          </w:p>
        </w:tc>
        <w:tc>
          <w:tcPr>
            <w:tcW w:w="1842" w:type="dxa"/>
            <w:tcBorders>
              <w:top w:val="single" w:sz="4" w:space="0" w:color="auto"/>
              <w:bottom w:val="single" w:sz="4" w:space="0" w:color="auto"/>
            </w:tcBorders>
            <w:vAlign w:val="bottom"/>
          </w:tcPr>
          <w:p w14:paraId="1B4F2DD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98.4 (97.6-99.2)</w:t>
            </w:r>
          </w:p>
        </w:tc>
        <w:tc>
          <w:tcPr>
            <w:tcW w:w="1843" w:type="dxa"/>
            <w:tcBorders>
              <w:top w:val="single" w:sz="4" w:space="0" w:color="auto"/>
              <w:bottom w:val="single" w:sz="4" w:space="0" w:color="auto"/>
            </w:tcBorders>
            <w:vAlign w:val="bottom"/>
          </w:tcPr>
          <w:p w14:paraId="479EB679"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98.2 (97.3-99.1)</w:t>
            </w:r>
          </w:p>
        </w:tc>
        <w:tc>
          <w:tcPr>
            <w:tcW w:w="1843" w:type="dxa"/>
            <w:tcBorders>
              <w:top w:val="single" w:sz="4" w:space="0" w:color="auto"/>
              <w:bottom w:val="single" w:sz="4" w:space="0" w:color="auto"/>
            </w:tcBorders>
            <w:vAlign w:val="bottom"/>
          </w:tcPr>
          <w:p w14:paraId="2ECB153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98.1 (97.2-99.1)</w:t>
            </w:r>
          </w:p>
        </w:tc>
      </w:tr>
      <w:bookmarkEnd w:id="21"/>
      <w:tr w:rsidR="0064507B" w:rsidRPr="00112DB6" w14:paraId="68CC5131" w14:textId="77777777" w:rsidTr="009E51EE">
        <w:tc>
          <w:tcPr>
            <w:tcW w:w="3119" w:type="dxa"/>
            <w:tcBorders>
              <w:top w:val="single" w:sz="4" w:space="0" w:color="auto"/>
              <w:bottom w:val="single" w:sz="4" w:space="0" w:color="auto"/>
            </w:tcBorders>
            <w:vAlign w:val="bottom"/>
          </w:tcPr>
          <w:p w14:paraId="79C42EB6" w14:textId="77777777" w:rsidR="0064507B" w:rsidRPr="00112DB6" w:rsidRDefault="0064507B" w:rsidP="009E51EE">
            <w:pPr>
              <w:spacing w:before="0" w:after="0" w:line="360" w:lineRule="auto"/>
              <w:ind w:left="170"/>
              <w:rPr>
                <w:rFonts w:cs="Times New Roman"/>
                <w:sz w:val="20"/>
                <w:szCs w:val="20"/>
                <w:lang w:val="en-US"/>
              </w:rPr>
            </w:pPr>
            <w:r w:rsidRPr="00112DB6">
              <w:rPr>
                <w:rFonts w:eastAsiaTheme="minorHAnsi" w:cs="Times New Roman"/>
                <w:sz w:val="20"/>
                <w:szCs w:val="20"/>
                <w:lang w:val="en-US"/>
              </w:rPr>
              <w:t>Atrial septal defect</w:t>
            </w:r>
          </w:p>
        </w:tc>
        <w:tc>
          <w:tcPr>
            <w:tcW w:w="1276" w:type="dxa"/>
            <w:tcBorders>
              <w:top w:val="single" w:sz="4" w:space="0" w:color="auto"/>
              <w:bottom w:val="single" w:sz="4" w:space="0" w:color="auto"/>
            </w:tcBorders>
            <w:vAlign w:val="bottom"/>
          </w:tcPr>
          <w:p w14:paraId="7641003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4594</w:t>
            </w:r>
          </w:p>
        </w:tc>
        <w:tc>
          <w:tcPr>
            <w:tcW w:w="1275" w:type="dxa"/>
            <w:tcBorders>
              <w:top w:val="single" w:sz="4" w:space="0" w:color="auto"/>
              <w:bottom w:val="single" w:sz="4" w:space="0" w:color="auto"/>
            </w:tcBorders>
            <w:vAlign w:val="bottom"/>
          </w:tcPr>
          <w:p w14:paraId="36B220D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119</w:t>
            </w:r>
          </w:p>
        </w:tc>
        <w:tc>
          <w:tcPr>
            <w:tcW w:w="1843" w:type="dxa"/>
            <w:tcBorders>
              <w:top w:val="single" w:sz="4" w:space="0" w:color="auto"/>
              <w:bottom w:val="single" w:sz="4" w:space="0" w:color="auto"/>
            </w:tcBorders>
            <w:vAlign w:val="bottom"/>
          </w:tcPr>
          <w:p w14:paraId="6AA1958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99.7 (99.5-99.9)</w:t>
            </w:r>
          </w:p>
        </w:tc>
        <w:tc>
          <w:tcPr>
            <w:tcW w:w="1985" w:type="dxa"/>
            <w:tcBorders>
              <w:top w:val="single" w:sz="4" w:space="0" w:color="auto"/>
              <w:bottom w:val="single" w:sz="4" w:space="0" w:color="auto"/>
            </w:tcBorders>
            <w:vAlign w:val="bottom"/>
          </w:tcPr>
          <w:p w14:paraId="53F1CD8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99.2 (98.6-99.7)</w:t>
            </w:r>
          </w:p>
        </w:tc>
        <w:tc>
          <w:tcPr>
            <w:tcW w:w="1842" w:type="dxa"/>
            <w:tcBorders>
              <w:top w:val="single" w:sz="4" w:space="0" w:color="auto"/>
              <w:bottom w:val="single" w:sz="4" w:space="0" w:color="auto"/>
            </w:tcBorders>
            <w:vAlign w:val="bottom"/>
          </w:tcPr>
          <w:p w14:paraId="7E65C4E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98.2 (97.2-99.1)</w:t>
            </w:r>
          </w:p>
        </w:tc>
        <w:tc>
          <w:tcPr>
            <w:tcW w:w="1843" w:type="dxa"/>
            <w:tcBorders>
              <w:top w:val="single" w:sz="4" w:space="0" w:color="auto"/>
              <w:bottom w:val="single" w:sz="4" w:space="0" w:color="auto"/>
            </w:tcBorders>
            <w:vAlign w:val="bottom"/>
          </w:tcPr>
          <w:p w14:paraId="214083A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97.9 (96.8-98.9)</w:t>
            </w:r>
          </w:p>
        </w:tc>
        <w:tc>
          <w:tcPr>
            <w:tcW w:w="1843" w:type="dxa"/>
            <w:tcBorders>
              <w:top w:val="single" w:sz="4" w:space="0" w:color="auto"/>
              <w:bottom w:val="single" w:sz="4" w:space="0" w:color="auto"/>
            </w:tcBorders>
            <w:vAlign w:val="bottom"/>
          </w:tcPr>
          <w:p w14:paraId="43066E9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97.7 (96.7-98.8)</w:t>
            </w:r>
          </w:p>
        </w:tc>
      </w:tr>
      <w:tr w:rsidR="0064507B" w:rsidRPr="00112DB6" w14:paraId="2B7FAC12" w14:textId="77777777" w:rsidTr="009E51EE">
        <w:tc>
          <w:tcPr>
            <w:tcW w:w="3119" w:type="dxa"/>
            <w:tcBorders>
              <w:top w:val="single" w:sz="4" w:space="0" w:color="auto"/>
              <w:bottom w:val="single" w:sz="4" w:space="0" w:color="auto"/>
            </w:tcBorders>
            <w:vAlign w:val="bottom"/>
          </w:tcPr>
          <w:p w14:paraId="0153BE90" w14:textId="77777777" w:rsidR="0064507B" w:rsidRPr="00112DB6" w:rsidRDefault="0064507B" w:rsidP="009E51EE">
            <w:pPr>
              <w:spacing w:before="0" w:after="0" w:line="360" w:lineRule="auto"/>
              <w:ind w:left="170"/>
              <w:rPr>
                <w:rFonts w:cs="Times New Roman"/>
                <w:sz w:val="20"/>
                <w:szCs w:val="20"/>
                <w:lang w:val="en-US"/>
              </w:rPr>
            </w:pPr>
            <w:r w:rsidRPr="00112DB6">
              <w:rPr>
                <w:rFonts w:eastAsiaTheme="minorHAnsi" w:cs="Times New Roman"/>
                <w:sz w:val="20"/>
                <w:szCs w:val="20"/>
                <w:lang w:val="en-US"/>
              </w:rPr>
              <w:t>Atrioventricular septal defect</w:t>
            </w:r>
          </w:p>
        </w:tc>
        <w:tc>
          <w:tcPr>
            <w:tcW w:w="1276" w:type="dxa"/>
            <w:tcBorders>
              <w:top w:val="single" w:sz="4" w:space="0" w:color="auto"/>
              <w:bottom w:val="single" w:sz="4" w:space="0" w:color="auto"/>
            </w:tcBorders>
            <w:vAlign w:val="bottom"/>
          </w:tcPr>
          <w:p w14:paraId="04C2542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484</w:t>
            </w:r>
          </w:p>
        </w:tc>
        <w:tc>
          <w:tcPr>
            <w:tcW w:w="1275" w:type="dxa"/>
            <w:tcBorders>
              <w:top w:val="single" w:sz="4" w:space="0" w:color="auto"/>
              <w:bottom w:val="single" w:sz="4" w:space="0" w:color="auto"/>
            </w:tcBorders>
            <w:vAlign w:val="bottom"/>
          </w:tcPr>
          <w:p w14:paraId="2E23651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70</w:t>
            </w:r>
          </w:p>
        </w:tc>
        <w:tc>
          <w:tcPr>
            <w:tcW w:w="1843" w:type="dxa"/>
            <w:tcBorders>
              <w:top w:val="single" w:sz="4" w:space="0" w:color="auto"/>
              <w:bottom w:val="single" w:sz="4" w:space="0" w:color="auto"/>
            </w:tcBorders>
            <w:vAlign w:val="bottom"/>
          </w:tcPr>
          <w:p w14:paraId="1EE8F6A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97.9 (96.5-99.3)</w:t>
            </w:r>
          </w:p>
        </w:tc>
        <w:tc>
          <w:tcPr>
            <w:tcW w:w="1985" w:type="dxa"/>
            <w:tcBorders>
              <w:top w:val="single" w:sz="4" w:space="0" w:color="auto"/>
              <w:bottom w:val="single" w:sz="4" w:space="0" w:color="auto"/>
            </w:tcBorders>
            <w:vAlign w:val="bottom"/>
          </w:tcPr>
          <w:p w14:paraId="6A4C3FE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95.6 (93.4-97.8)</w:t>
            </w:r>
          </w:p>
        </w:tc>
        <w:tc>
          <w:tcPr>
            <w:tcW w:w="1842" w:type="dxa"/>
            <w:tcBorders>
              <w:top w:val="single" w:sz="4" w:space="0" w:color="auto"/>
              <w:bottom w:val="single" w:sz="4" w:space="0" w:color="auto"/>
            </w:tcBorders>
            <w:vAlign w:val="bottom"/>
          </w:tcPr>
          <w:p w14:paraId="0A3D269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89.9 (86.3-93.6)</w:t>
            </w:r>
          </w:p>
        </w:tc>
        <w:tc>
          <w:tcPr>
            <w:tcW w:w="1843" w:type="dxa"/>
            <w:tcBorders>
              <w:top w:val="single" w:sz="4" w:space="0" w:color="auto"/>
              <w:bottom w:val="single" w:sz="4" w:space="0" w:color="auto"/>
            </w:tcBorders>
            <w:vAlign w:val="bottom"/>
          </w:tcPr>
          <w:p w14:paraId="66FEA64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87.7 (83.3-92.3)</w:t>
            </w:r>
          </w:p>
        </w:tc>
        <w:tc>
          <w:tcPr>
            <w:tcW w:w="1843" w:type="dxa"/>
            <w:tcBorders>
              <w:top w:val="single" w:sz="4" w:space="0" w:color="auto"/>
              <w:bottom w:val="single" w:sz="4" w:space="0" w:color="auto"/>
            </w:tcBorders>
            <w:vAlign w:val="bottom"/>
          </w:tcPr>
          <w:p w14:paraId="523DE4C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87.0 (82.5-91.8)</w:t>
            </w:r>
          </w:p>
        </w:tc>
      </w:tr>
      <w:tr w:rsidR="0064507B" w:rsidRPr="00112DB6" w14:paraId="38DA4BA8" w14:textId="77777777" w:rsidTr="009E51EE">
        <w:tc>
          <w:tcPr>
            <w:tcW w:w="3119" w:type="dxa"/>
            <w:tcBorders>
              <w:top w:val="single" w:sz="4" w:space="0" w:color="auto"/>
              <w:bottom w:val="single" w:sz="4" w:space="0" w:color="auto"/>
            </w:tcBorders>
            <w:vAlign w:val="bottom"/>
          </w:tcPr>
          <w:p w14:paraId="5BF90455"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 xml:space="preserve">Tetralogy of </w:t>
            </w:r>
            <w:proofErr w:type="spellStart"/>
            <w:r w:rsidRPr="00112DB6">
              <w:rPr>
                <w:rFonts w:eastAsiaTheme="minorHAnsi" w:cs="Times New Roman"/>
                <w:sz w:val="20"/>
                <w:szCs w:val="20"/>
                <w:lang w:val="en-US"/>
              </w:rPr>
              <w:t>Fallot</w:t>
            </w:r>
            <w:proofErr w:type="spellEnd"/>
          </w:p>
        </w:tc>
        <w:tc>
          <w:tcPr>
            <w:tcW w:w="1276" w:type="dxa"/>
            <w:tcBorders>
              <w:top w:val="single" w:sz="4" w:space="0" w:color="auto"/>
              <w:bottom w:val="single" w:sz="4" w:space="0" w:color="auto"/>
            </w:tcBorders>
            <w:vAlign w:val="bottom"/>
          </w:tcPr>
          <w:p w14:paraId="7B2809E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868</w:t>
            </w:r>
          </w:p>
        </w:tc>
        <w:tc>
          <w:tcPr>
            <w:tcW w:w="1275" w:type="dxa"/>
            <w:tcBorders>
              <w:top w:val="single" w:sz="4" w:space="0" w:color="auto"/>
              <w:bottom w:val="single" w:sz="4" w:space="0" w:color="auto"/>
            </w:tcBorders>
            <w:vAlign w:val="bottom"/>
          </w:tcPr>
          <w:p w14:paraId="4A1067F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42</w:t>
            </w:r>
          </w:p>
        </w:tc>
        <w:tc>
          <w:tcPr>
            <w:tcW w:w="1843" w:type="dxa"/>
            <w:tcBorders>
              <w:top w:val="single" w:sz="4" w:space="0" w:color="auto"/>
              <w:bottom w:val="single" w:sz="4" w:space="0" w:color="auto"/>
            </w:tcBorders>
            <w:vAlign w:val="bottom"/>
          </w:tcPr>
          <w:p w14:paraId="7270429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(99.1-100.0)</w:t>
            </w:r>
          </w:p>
        </w:tc>
        <w:tc>
          <w:tcPr>
            <w:tcW w:w="1985" w:type="dxa"/>
            <w:tcBorders>
              <w:top w:val="single" w:sz="4" w:space="0" w:color="auto"/>
              <w:bottom w:val="single" w:sz="4" w:space="0" w:color="auto"/>
            </w:tcBorders>
            <w:vAlign w:val="bottom"/>
          </w:tcPr>
          <w:p w14:paraId="57B89ED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(98.8-99.9)</w:t>
            </w:r>
          </w:p>
        </w:tc>
        <w:tc>
          <w:tcPr>
            <w:tcW w:w="1842" w:type="dxa"/>
            <w:tcBorders>
              <w:top w:val="single" w:sz="4" w:space="0" w:color="auto"/>
              <w:bottom w:val="single" w:sz="4" w:space="0" w:color="auto"/>
            </w:tcBorders>
            <w:vAlign w:val="bottom"/>
          </w:tcPr>
          <w:p w14:paraId="60B23FE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97.6 (96.3-99.0)</w:t>
            </w:r>
          </w:p>
        </w:tc>
        <w:tc>
          <w:tcPr>
            <w:tcW w:w="1843" w:type="dxa"/>
            <w:tcBorders>
              <w:top w:val="single" w:sz="4" w:space="0" w:color="auto"/>
              <w:bottom w:val="single" w:sz="4" w:space="0" w:color="auto"/>
            </w:tcBorders>
            <w:vAlign w:val="bottom"/>
          </w:tcPr>
          <w:p w14:paraId="314A315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96.7 (95.2-98.2)</w:t>
            </w:r>
          </w:p>
        </w:tc>
        <w:tc>
          <w:tcPr>
            <w:tcW w:w="1843" w:type="dxa"/>
            <w:tcBorders>
              <w:top w:val="single" w:sz="4" w:space="0" w:color="auto"/>
              <w:bottom w:val="single" w:sz="4" w:space="0" w:color="auto"/>
            </w:tcBorders>
            <w:vAlign w:val="bottom"/>
          </w:tcPr>
          <w:p w14:paraId="0652FDA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96.6 (95.1-98.2)</w:t>
            </w:r>
          </w:p>
        </w:tc>
      </w:tr>
      <w:tr w:rsidR="0064507B" w:rsidRPr="00112DB6" w14:paraId="4A8F4EF1" w14:textId="77777777" w:rsidTr="009E51EE">
        <w:tc>
          <w:tcPr>
            <w:tcW w:w="3119" w:type="dxa"/>
            <w:tcBorders>
              <w:top w:val="single" w:sz="4" w:space="0" w:color="auto"/>
              <w:bottom w:val="single" w:sz="4" w:space="0" w:color="auto"/>
            </w:tcBorders>
            <w:vAlign w:val="bottom"/>
          </w:tcPr>
          <w:p w14:paraId="29955143"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Pulmonary valve stenosis</w:t>
            </w:r>
          </w:p>
        </w:tc>
        <w:tc>
          <w:tcPr>
            <w:tcW w:w="1276" w:type="dxa"/>
            <w:tcBorders>
              <w:top w:val="single" w:sz="4" w:space="0" w:color="auto"/>
              <w:bottom w:val="single" w:sz="4" w:space="0" w:color="auto"/>
            </w:tcBorders>
            <w:vAlign w:val="bottom"/>
          </w:tcPr>
          <w:p w14:paraId="605B3A0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1688</w:t>
            </w:r>
          </w:p>
        </w:tc>
        <w:tc>
          <w:tcPr>
            <w:tcW w:w="1275" w:type="dxa"/>
            <w:tcBorders>
              <w:top w:val="single" w:sz="4" w:space="0" w:color="auto"/>
              <w:bottom w:val="single" w:sz="4" w:space="0" w:color="auto"/>
            </w:tcBorders>
            <w:vAlign w:val="bottom"/>
          </w:tcPr>
          <w:p w14:paraId="26CDEB5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45</w:t>
            </w:r>
          </w:p>
        </w:tc>
        <w:tc>
          <w:tcPr>
            <w:tcW w:w="1843" w:type="dxa"/>
            <w:tcBorders>
              <w:top w:val="single" w:sz="4" w:space="0" w:color="auto"/>
              <w:bottom w:val="single" w:sz="4" w:space="0" w:color="auto"/>
            </w:tcBorders>
            <w:vAlign w:val="bottom"/>
          </w:tcPr>
          <w:p w14:paraId="44CA6FC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(99.7-100.0)</w:t>
            </w:r>
          </w:p>
        </w:tc>
        <w:tc>
          <w:tcPr>
            <w:tcW w:w="1985" w:type="dxa"/>
            <w:tcBorders>
              <w:top w:val="single" w:sz="4" w:space="0" w:color="auto"/>
              <w:bottom w:val="single" w:sz="4" w:space="0" w:color="auto"/>
            </w:tcBorders>
            <w:vAlign w:val="bottom"/>
          </w:tcPr>
          <w:p w14:paraId="252EF2D9"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99.5 (99.0-99.9)</w:t>
            </w:r>
          </w:p>
        </w:tc>
        <w:tc>
          <w:tcPr>
            <w:tcW w:w="1842" w:type="dxa"/>
            <w:tcBorders>
              <w:top w:val="single" w:sz="4" w:space="0" w:color="auto"/>
              <w:bottom w:val="single" w:sz="4" w:space="0" w:color="auto"/>
            </w:tcBorders>
            <w:vAlign w:val="bottom"/>
          </w:tcPr>
          <w:p w14:paraId="1527223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98.8 (97.9-99.7)</w:t>
            </w:r>
          </w:p>
        </w:tc>
        <w:tc>
          <w:tcPr>
            <w:tcW w:w="1843" w:type="dxa"/>
            <w:tcBorders>
              <w:top w:val="single" w:sz="4" w:space="0" w:color="auto"/>
              <w:bottom w:val="single" w:sz="4" w:space="0" w:color="auto"/>
            </w:tcBorders>
            <w:vAlign w:val="bottom"/>
          </w:tcPr>
          <w:p w14:paraId="1959228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98.5 (97.6-99.4)</w:t>
            </w:r>
          </w:p>
        </w:tc>
        <w:tc>
          <w:tcPr>
            <w:tcW w:w="1843" w:type="dxa"/>
            <w:tcBorders>
              <w:top w:val="single" w:sz="4" w:space="0" w:color="auto"/>
              <w:bottom w:val="single" w:sz="4" w:space="0" w:color="auto"/>
            </w:tcBorders>
            <w:vAlign w:val="bottom"/>
          </w:tcPr>
          <w:p w14:paraId="0B8D660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98.4 (97.5-99.3)</w:t>
            </w:r>
          </w:p>
        </w:tc>
      </w:tr>
      <w:tr w:rsidR="0064507B" w:rsidRPr="00112DB6" w14:paraId="5E89FEF9" w14:textId="77777777" w:rsidTr="009E51EE">
        <w:tc>
          <w:tcPr>
            <w:tcW w:w="3119" w:type="dxa"/>
            <w:tcBorders>
              <w:top w:val="single" w:sz="4" w:space="0" w:color="auto"/>
              <w:bottom w:val="single" w:sz="4" w:space="0" w:color="auto"/>
            </w:tcBorders>
            <w:vAlign w:val="bottom"/>
          </w:tcPr>
          <w:p w14:paraId="76D442D2"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Aortic valve atresia/stenosis</w:t>
            </w:r>
          </w:p>
        </w:tc>
        <w:tc>
          <w:tcPr>
            <w:tcW w:w="1276" w:type="dxa"/>
            <w:tcBorders>
              <w:top w:val="single" w:sz="4" w:space="0" w:color="auto"/>
              <w:bottom w:val="single" w:sz="4" w:space="0" w:color="auto"/>
            </w:tcBorders>
            <w:vAlign w:val="bottom"/>
          </w:tcPr>
          <w:p w14:paraId="4814793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576</w:t>
            </w:r>
          </w:p>
        </w:tc>
        <w:tc>
          <w:tcPr>
            <w:tcW w:w="1275" w:type="dxa"/>
            <w:tcBorders>
              <w:top w:val="single" w:sz="4" w:space="0" w:color="auto"/>
              <w:bottom w:val="single" w:sz="4" w:space="0" w:color="auto"/>
            </w:tcBorders>
            <w:vAlign w:val="bottom"/>
          </w:tcPr>
          <w:p w14:paraId="547BD1E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58</w:t>
            </w:r>
          </w:p>
        </w:tc>
        <w:tc>
          <w:tcPr>
            <w:tcW w:w="1843" w:type="dxa"/>
            <w:tcBorders>
              <w:top w:val="single" w:sz="4" w:space="0" w:color="auto"/>
              <w:bottom w:val="single" w:sz="4" w:space="0" w:color="auto"/>
            </w:tcBorders>
            <w:vAlign w:val="bottom"/>
          </w:tcPr>
          <w:p w14:paraId="2D2F91D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(97.4-100.0)</w:t>
            </w:r>
          </w:p>
        </w:tc>
        <w:tc>
          <w:tcPr>
            <w:tcW w:w="1985" w:type="dxa"/>
            <w:tcBorders>
              <w:top w:val="single" w:sz="4" w:space="0" w:color="auto"/>
              <w:bottom w:val="single" w:sz="4" w:space="0" w:color="auto"/>
            </w:tcBorders>
            <w:vAlign w:val="bottom"/>
          </w:tcPr>
          <w:p w14:paraId="14FA843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96.4 (94.3-98.6)</w:t>
            </w:r>
          </w:p>
        </w:tc>
        <w:tc>
          <w:tcPr>
            <w:tcW w:w="1842" w:type="dxa"/>
            <w:tcBorders>
              <w:top w:val="single" w:sz="4" w:space="0" w:color="auto"/>
              <w:bottom w:val="single" w:sz="4" w:space="0" w:color="auto"/>
            </w:tcBorders>
            <w:vAlign w:val="bottom"/>
          </w:tcPr>
          <w:p w14:paraId="69AE80F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92.2 (89.3-95.2)</w:t>
            </w:r>
          </w:p>
        </w:tc>
        <w:tc>
          <w:tcPr>
            <w:tcW w:w="1843" w:type="dxa"/>
            <w:tcBorders>
              <w:top w:val="single" w:sz="4" w:space="0" w:color="auto"/>
              <w:bottom w:val="single" w:sz="4" w:space="0" w:color="auto"/>
            </w:tcBorders>
            <w:vAlign w:val="bottom"/>
          </w:tcPr>
          <w:p w14:paraId="6696D89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91.3 (88.0-94.6)</w:t>
            </w:r>
          </w:p>
        </w:tc>
        <w:tc>
          <w:tcPr>
            <w:tcW w:w="1843" w:type="dxa"/>
            <w:tcBorders>
              <w:top w:val="single" w:sz="4" w:space="0" w:color="auto"/>
              <w:bottom w:val="single" w:sz="4" w:space="0" w:color="auto"/>
            </w:tcBorders>
            <w:vAlign w:val="bottom"/>
          </w:tcPr>
          <w:p w14:paraId="4400675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91.2 (87.9-94.6)</w:t>
            </w:r>
          </w:p>
        </w:tc>
      </w:tr>
      <w:tr w:rsidR="0064507B" w:rsidRPr="00112DB6" w14:paraId="720DE28F" w14:textId="77777777" w:rsidTr="009E51EE">
        <w:tc>
          <w:tcPr>
            <w:tcW w:w="3119" w:type="dxa"/>
            <w:tcBorders>
              <w:top w:val="single" w:sz="4" w:space="0" w:color="auto"/>
              <w:bottom w:val="single" w:sz="4" w:space="0" w:color="auto"/>
            </w:tcBorders>
            <w:vAlign w:val="bottom"/>
          </w:tcPr>
          <w:p w14:paraId="6F078C64"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Mitral valve anomalies</w:t>
            </w:r>
          </w:p>
        </w:tc>
        <w:tc>
          <w:tcPr>
            <w:tcW w:w="1276" w:type="dxa"/>
            <w:tcBorders>
              <w:top w:val="single" w:sz="4" w:space="0" w:color="auto"/>
              <w:bottom w:val="single" w:sz="4" w:space="0" w:color="auto"/>
            </w:tcBorders>
            <w:vAlign w:val="bottom"/>
          </w:tcPr>
          <w:p w14:paraId="0FA1D4C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453</w:t>
            </w:r>
          </w:p>
        </w:tc>
        <w:tc>
          <w:tcPr>
            <w:tcW w:w="1275" w:type="dxa"/>
            <w:tcBorders>
              <w:top w:val="single" w:sz="4" w:space="0" w:color="auto"/>
              <w:bottom w:val="single" w:sz="4" w:space="0" w:color="auto"/>
            </w:tcBorders>
            <w:vAlign w:val="bottom"/>
          </w:tcPr>
          <w:p w14:paraId="4E6CF19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52</w:t>
            </w:r>
          </w:p>
        </w:tc>
        <w:tc>
          <w:tcPr>
            <w:tcW w:w="1843" w:type="dxa"/>
            <w:tcBorders>
              <w:top w:val="single" w:sz="4" w:space="0" w:color="auto"/>
              <w:bottom w:val="single" w:sz="4" w:space="0" w:color="auto"/>
            </w:tcBorders>
            <w:vAlign w:val="bottom"/>
          </w:tcPr>
          <w:p w14:paraId="447E28F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96.8 (94.7-99.0)</w:t>
            </w:r>
          </w:p>
        </w:tc>
        <w:tc>
          <w:tcPr>
            <w:tcW w:w="1985" w:type="dxa"/>
            <w:tcBorders>
              <w:top w:val="single" w:sz="4" w:space="0" w:color="auto"/>
              <w:bottom w:val="single" w:sz="4" w:space="0" w:color="auto"/>
            </w:tcBorders>
            <w:vAlign w:val="bottom"/>
          </w:tcPr>
          <w:p w14:paraId="36F7760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95.4 (92.4-98.5)</w:t>
            </w:r>
          </w:p>
        </w:tc>
        <w:tc>
          <w:tcPr>
            <w:tcW w:w="1842" w:type="dxa"/>
            <w:tcBorders>
              <w:top w:val="single" w:sz="4" w:space="0" w:color="auto"/>
              <w:bottom w:val="single" w:sz="4" w:space="0" w:color="auto"/>
            </w:tcBorders>
            <w:vAlign w:val="bottom"/>
          </w:tcPr>
          <w:p w14:paraId="4E770D7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90.5 (87.0-94.1)</w:t>
            </w:r>
          </w:p>
        </w:tc>
        <w:tc>
          <w:tcPr>
            <w:tcW w:w="1843" w:type="dxa"/>
            <w:tcBorders>
              <w:top w:val="single" w:sz="4" w:space="0" w:color="auto"/>
              <w:bottom w:val="single" w:sz="4" w:space="0" w:color="auto"/>
            </w:tcBorders>
            <w:vAlign w:val="bottom"/>
          </w:tcPr>
          <w:p w14:paraId="484D10F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89.5 (85.6-93.7)</w:t>
            </w:r>
          </w:p>
        </w:tc>
        <w:tc>
          <w:tcPr>
            <w:tcW w:w="1843" w:type="dxa"/>
            <w:tcBorders>
              <w:top w:val="single" w:sz="4" w:space="0" w:color="auto"/>
              <w:bottom w:val="single" w:sz="4" w:space="0" w:color="auto"/>
            </w:tcBorders>
            <w:vAlign w:val="bottom"/>
          </w:tcPr>
          <w:p w14:paraId="4F9068B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89.5 (85.6-93.7)</w:t>
            </w:r>
          </w:p>
        </w:tc>
      </w:tr>
      <w:tr w:rsidR="0064507B" w:rsidRPr="00112DB6" w14:paraId="2E036CBC" w14:textId="77777777" w:rsidTr="009E51EE">
        <w:tc>
          <w:tcPr>
            <w:tcW w:w="3119" w:type="dxa"/>
            <w:tcBorders>
              <w:top w:val="single" w:sz="4" w:space="0" w:color="auto"/>
              <w:bottom w:val="single" w:sz="4" w:space="0" w:color="auto"/>
            </w:tcBorders>
            <w:vAlign w:val="bottom"/>
          </w:tcPr>
          <w:p w14:paraId="19B97CFD" w14:textId="77777777" w:rsidR="0064507B" w:rsidRPr="00112DB6" w:rsidRDefault="0064507B" w:rsidP="009E51EE">
            <w:pPr>
              <w:spacing w:before="0" w:after="0" w:line="360" w:lineRule="auto"/>
              <w:ind w:left="170"/>
              <w:rPr>
                <w:rFonts w:eastAsiaTheme="minorHAnsi" w:cs="Times New Roman"/>
                <w:sz w:val="20"/>
                <w:szCs w:val="20"/>
                <w:lang w:val="en-US"/>
              </w:rPr>
            </w:pPr>
            <w:proofErr w:type="spellStart"/>
            <w:r w:rsidRPr="00112DB6">
              <w:rPr>
                <w:rFonts w:eastAsiaTheme="minorHAnsi" w:cs="Times New Roman"/>
                <w:sz w:val="20"/>
                <w:szCs w:val="20"/>
                <w:lang w:val="en-US"/>
              </w:rPr>
              <w:lastRenderedPageBreak/>
              <w:t>Hypoplastic</w:t>
            </w:r>
            <w:proofErr w:type="spellEnd"/>
            <w:r w:rsidRPr="00112DB6">
              <w:rPr>
                <w:rFonts w:eastAsiaTheme="minorHAnsi" w:cs="Times New Roman"/>
                <w:sz w:val="20"/>
                <w:szCs w:val="20"/>
                <w:lang w:val="en-US"/>
              </w:rPr>
              <w:t xml:space="preserve"> left heart</w:t>
            </w:r>
          </w:p>
        </w:tc>
        <w:tc>
          <w:tcPr>
            <w:tcW w:w="1276" w:type="dxa"/>
            <w:tcBorders>
              <w:top w:val="single" w:sz="4" w:space="0" w:color="auto"/>
              <w:bottom w:val="single" w:sz="4" w:space="0" w:color="auto"/>
            </w:tcBorders>
            <w:vAlign w:val="bottom"/>
          </w:tcPr>
          <w:p w14:paraId="7BFCC54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515</w:t>
            </w:r>
          </w:p>
        </w:tc>
        <w:tc>
          <w:tcPr>
            <w:tcW w:w="1275" w:type="dxa"/>
            <w:tcBorders>
              <w:top w:val="single" w:sz="4" w:space="0" w:color="auto"/>
              <w:bottom w:val="single" w:sz="4" w:space="0" w:color="auto"/>
            </w:tcBorders>
            <w:vAlign w:val="bottom"/>
          </w:tcPr>
          <w:p w14:paraId="2B285C8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237</w:t>
            </w:r>
          </w:p>
        </w:tc>
        <w:tc>
          <w:tcPr>
            <w:tcW w:w="1843" w:type="dxa"/>
            <w:tcBorders>
              <w:top w:val="single" w:sz="4" w:space="0" w:color="auto"/>
              <w:bottom w:val="single" w:sz="4" w:space="0" w:color="auto"/>
            </w:tcBorders>
            <w:vAlign w:val="bottom"/>
          </w:tcPr>
          <w:p w14:paraId="4672821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79.5 (70.5-89.7)</w:t>
            </w:r>
          </w:p>
        </w:tc>
        <w:tc>
          <w:tcPr>
            <w:tcW w:w="1985" w:type="dxa"/>
            <w:tcBorders>
              <w:top w:val="single" w:sz="4" w:space="0" w:color="auto"/>
              <w:bottom w:val="single" w:sz="4" w:space="0" w:color="auto"/>
            </w:tcBorders>
            <w:vAlign w:val="bottom"/>
          </w:tcPr>
          <w:p w14:paraId="31F52DB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64.0 (55.7-73.5)</w:t>
            </w:r>
          </w:p>
        </w:tc>
        <w:tc>
          <w:tcPr>
            <w:tcW w:w="1842" w:type="dxa"/>
            <w:tcBorders>
              <w:top w:val="single" w:sz="4" w:space="0" w:color="auto"/>
              <w:bottom w:val="single" w:sz="4" w:space="0" w:color="auto"/>
            </w:tcBorders>
            <w:vAlign w:val="bottom"/>
          </w:tcPr>
          <w:p w14:paraId="25E7369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54.0 (46.9-62.3)</w:t>
            </w:r>
          </w:p>
        </w:tc>
        <w:tc>
          <w:tcPr>
            <w:tcW w:w="1843" w:type="dxa"/>
            <w:tcBorders>
              <w:top w:val="single" w:sz="4" w:space="0" w:color="auto"/>
              <w:bottom w:val="single" w:sz="4" w:space="0" w:color="auto"/>
            </w:tcBorders>
            <w:vAlign w:val="bottom"/>
          </w:tcPr>
          <w:p w14:paraId="3225534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51.8 (45.0-59.6)</w:t>
            </w:r>
          </w:p>
        </w:tc>
        <w:tc>
          <w:tcPr>
            <w:tcW w:w="1843" w:type="dxa"/>
            <w:tcBorders>
              <w:top w:val="single" w:sz="4" w:space="0" w:color="auto"/>
              <w:bottom w:val="single" w:sz="4" w:space="0" w:color="auto"/>
            </w:tcBorders>
            <w:vAlign w:val="bottom"/>
          </w:tcPr>
          <w:p w14:paraId="5CF7EB1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51.6 (44.9-59.4)</w:t>
            </w:r>
          </w:p>
        </w:tc>
      </w:tr>
      <w:tr w:rsidR="0064507B" w:rsidRPr="00112DB6" w14:paraId="6C769BF2" w14:textId="77777777" w:rsidTr="009E51EE">
        <w:tc>
          <w:tcPr>
            <w:tcW w:w="3119" w:type="dxa"/>
            <w:tcBorders>
              <w:top w:val="single" w:sz="4" w:space="0" w:color="auto"/>
              <w:bottom w:val="single" w:sz="4" w:space="0" w:color="auto"/>
            </w:tcBorders>
            <w:vAlign w:val="bottom"/>
          </w:tcPr>
          <w:p w14:paraId="546F40C9" w14:textId="77777777" w:rsidR="0064507B" w:rsidRPr="00112DB6" w:rsidRDefault="0064507B" w:rsidP="009E51EE">
            <w:pPr>
              <w:spacing w:before="0" w:after="0" w:line="360" w:lineRule="auto"/>
              <w:ind w:left="170"/>
              <w:rPr>
                <w:rFonts w:eastAsiaTheme="minorHAnsi" w:cs="Times New Roman"/>
                <w:sz w:val="20"/>
                <w:szCs w:val="20"/>
                <w:lang w:val="en-US"/>
              </w:rPr>
            </w:pPr>
            <w:proofErr w:type="spellStart"/>
            <w:r w:rsidRPr="00112DB6">
              <w:rPr>
                <w:rFonts w:eastAsiaTheme="minorHAnsi" w:cs="Times New Roman"/>
                <w:sz w:val="20"/>
                <w:szCs w:val="20"/>
                <w:lang w:val="en-US"/>
              </w:rPr>
              <w:t>Coarctation</w:t>
            </w:r>
            <w:proofErr w:type="spellEnd"/>
            <w:r w:rsidRPr="00112DB6">
              <w:rPr>
                <w:rFonts w:eastAsiaTheme="minorHAnsi" w:cs="Times New Roman"/>
                <w:sz w:val="20"/>
                <w:szCs w:val="20"/>
                <w:lang w:val="en-US"/>
              </w:rPr>
              <w:t xml:space="preserve"> of aorta</w:t>
            </w:r>
          </w:p>
        </w:tc>
        <w:tc>
          <w:tcPr>
            <w:tcW w:w="1276" w:type="dxa"/>
            <w:tcBorders>
              <w:top w:val="single" w:sz="4" w:space="0" w:color="auto"/>
              <w:bottom w:val="single" w:sz="4" w:space="0" w:color="auto"/>
            </w:tcBorders>
            <w:vAlign w:val="bottom"/>
          </w:tcPr>
          <w:p w14:paraId="4B154CB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1450</w:t>
            </w:r>
          </w:p>
        </w:tc>
        <w:tc>
          <w:tcPr>
            <w:tcW w:w="1275" w:type="dxa"/>
            <w:tcBorders>
              <w:top w:val="single" w:sz="4" w:space="0" w:color="auto"/>
              <w:bottom w:val="single" w:sz="4" w:space="0" w:color="auto"/>
            </w:tcBorders>
            <w:vAlign w:val="bottom"/>
          </w:tcPr>
          <w:p w14:paraId="0B2CDF5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101</w:t>
            </w:r>
          </w:p>
        </w:tc>
        <w:tc>
          <w:tcPr>
            <w:tcW w:w="1843" w:type="dxa"/>
            <w:tcBorders>
              <w:top w:val="single" w:sz="4" w:space="0" w:color="auto"/>
              <w:bottom w:val="single" w:sz="4" w:space="0" w:color="auto"/>
            </w:tcBorders>
            <w:vAlign w:val="bottom"/>
          </w:tcPr>
          <w:p w14:paraId="53803AA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99.2 (98.6-99.8)</w:t>
            </w:r>
          </w:p>
        </w:tc>
        <w:tc>
          <w:tcPr>
            <w:tcW w:w="1985" w:type="dxa"/>
            <w:tcBorders>
              <w:top w:val="single" w:sz="4" w:space="0" w:color="auto"/>
              <w:bottom w:val="single" w:sz="4" w:space="0" w:color="auto"/>
            </w:tcBorders>
            <w:vAlign w:val="bottom"/>
          </w:tcPr>
          <w:p w14:paraId="79563DA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96.6 (95.3-97.8)</w:t>
            </w:r>
          </w:p>
        </w:tc>
        <w:tc>
          <w:tcPr>
            <w:tcW w:w="1842" w:type="dxa"/>
            <w:tcBorders>
              <w:top w:val="single" w:sz="4" w:space="0" w:color="auto"/>
              <w:bottom w:val="single" w:sz="4" w:space="0" w:color="auto"/>
            </w:tcBorders>
            <w:vAlign w:val="bottom"/>
          </w:tcPr>
          <w:p w14:paraId="7C872F1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94.2 (92.3-96.2)</w:t>
            </w:r>
          </w:p>
        </w:tc>
        <w:tc>
          <w:tcPr>
            <w:tcW w:w="1843" w:type="dxa"/>
            <w:tcBorders>
              <w:top w:val="single" w:sz="4" w:space="0" w:color="auto"/>
              <w:bottom w:val="single" w:sz="4" w:space="0" w:color="auto"/>
            </w:tcBorders>
            <w:vAlign w:val="bottom"/>
          </w:tcPr>
          <w:p w14:paraId="69266AE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93.4 (91.2-95.7)</w:t>
            </w:r>
          </w:p>
        </w:tc>
        <w:tc>
          <w:tcPr>
            <w:tcW w:w="1843" w:type="dxa"/>
            <w:tcBorders>
              <w:top w:val="single" w:sz="4" w:space="0" w:color="auto"/>
              <w:bottom w:val="single" w:sz="4" w:space="0" w:color="auto"/>
            </w:tcBorders>
            <w:vAlign w:val="bottom"/>
          </w:tcPr>
          <w:p w14:paraId="01DF3EB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93.3 (91.1-95.6)</w:t>
            </w:r>
          </w:p>
        </w:tc>
      </w:tr>
      <w:tr w:rsidR="0064507B" w:rsidRPr="00112DB6" w14:paraId="0DD9990C" w14:textId="77777777" w:rsidTr="009E51EE">
        <w:tc>
          <w:tcPr>
            <w:tcW w:w="3119" w:type="dxa"/>
            <w:tcBorders>
              <w:top w:val="single" w:sz="4" w:space="0" w:color="auto"/>
              <w:bottom w:val="single" w:sz="4" w:space="0" w:color="auto"/>
            </w:tcBorders>
            <w:vAlign w:val="bottom"/>
          </w:tcPr>
          <w:p w14:paraId="1D49711B" w14:textId="77777777" w:rsidR="0064507B" w:rsidRPr="00112DB6" w:rsidRDefault="0064507B" w:rsidP="009E51EE">
            <w:pPr>
              <w:spacing w:before="0" w:after="0" w:line="240" w:lineRule="auto"/>
              <w:ind w:left="170"/>
              <w:rPr>
                <w:rFonts w:eastAsiaTheme="minorHAnsi" w:cs="Times New Roman"/>
                <w:sz w:val="20"/>
                <w:szCs w:val="20"/>
                <w:lang w:val="en-US"/>
              </w:rPr>
            </w:pPr>
            <w:r w:rsidRPr="00112DB6">
              <w:rPr>
                <w:rFonts w:cs="Times New Roman"/>
                <w:color w:val="000000"/>
                <w:sz w:val="20"/>
                <w:szCs w:val="20"/>
                <w:shd w:val="clear" w:color="auto" w:fill="FFFFFF"/>
                <w:lang w:val="en-US"/>
              </w:rPr>
              <w:t>Patent ductus arteriosus</w:t>
            </w:r>
            <w:r w:rsidRPr="00112DB6">
              <w:rPr>
                <w:rFonts w:eastAsiaTheme="minorHAnsi" w:cs="Times New Roman"/>
                <w:sz w:val="22"/>
                <w:lang w:val="en-US"/>
              </w:rPr>
              <w:t xml:space="preserve"> </w:t>
            </w:r>
            <w:r w:rsidRPr="00112DB6">
              <w:rPr>
                <w:rFonts w:eastAsiaTheme="minorHAnsi" w:cs="Times New Roman"/>
                <w:sz w:val="20"/>
                <w:szCs w:val="20"/>
                <w:lang w:val="en-US"/>
              </w:rPr>
              <w:t>as only CHD in term infants (≥37 weeks)</w:t>
            </w:r>
          </w:p>
        </w:tc>
        <w:tc>
          <w:tcPr>
            <w:tcW w:w="1276" w:type="dxa"/>
            <w:tcBorders>
              <w:top w:val="single" w:sz="4" w:space="0" w:color="auto"/>
              <w:bottom w:val="single" w:sz="4" w:space="0" w:color="auto"/>
            </w:tcBorders>
            <w:vAlign w:val="bottom"/>
          </w:tcPr>
          <w:p w14:paraId="2584C94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1201</w:t>
            </w:r>
          </w:p>
        </w:tc>
        <w:tc>
          <w:tcPr>
            <w:tcW w:w="1275" w:type="dxa"/>
            <w:tcBorders>
              <w:top w:val="single" w:sz="4" w:space="0" w:color="auto"/>
              <w:bottom w:val="single" w:sz="4" w:space="0" w:color="auto"/>
            </w:tcBorders>
            <w:vAlign w:val="bottom"/>
          </w:tcPr>
          <w:p w14:paraId="722AE35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13</w:t>
            </w:r>
          </w:p>
        </w:tc>
        <w:tc>
          <w:tcPr>
            <w:tcW w:w="1843" w:type="dxa"/>
            <w:tcBorders>
              <w:top w:val="single" w:sz="4" w:space="0" w:color="auto"/>
              <w:bottom w:val="single" w:sz="4" w:space="0" w:color="auto"/>
            </w:tcBorders>
            <w:vAlign w:val="bottom"/>
          </w:tcPr>
          <w:p w14:paraId="72614B9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(99.6-100.0)</w:t>
            </w:r>
          </w:p>
        </w:tc>
        <w:tc>
          <w:tcPr>
            <w:tcW w:w="1985" w:type="dxa"/>
            <w:tcBorders>
              <w:top w:val="single" w:sz="4" w:space="0" w:color="auto"/>
              <w:bottom w:val="single" w:sz="4" w:space="0" w:color="auto"/>
            </w:tcBorders>
            <w:vAlign w:val="bottom"/>
          </w:tcPr>
          <w:p w14:paraId="199CB8F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(99.5-100.0)</w:t>
            </w:r>
          </w:p>
        </w:tc>
        <w:tc>
          <w:tcPr>
            <w:tcW w:w="1842" w:type="dxa"/>
            <w:tcBorders>
              <w:top w:val="single" w:sz="4" w:space="0" w:color="auto"/>
              <w:bottom w:val="single" w:sz="4" w:space="0" w:color="auto"/>
            </w:tcBorders>
            <w:vAlign w:val="bottom"/>
          </w:tcPr>
          <w:p w14:paraId="2C71AE7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99.2 (98.4-99.9)</w:t>
            </w:r>
          </w:p>
        </w:tc>
        <w:tc>
          <w:tcPr>
            <w:tcW w:w="1843" w:type="dxa"/>
            <w:tcBorders>
              <w:top w:val="single" w:sz="4" w:space="0" w:color="auto"/>
              <w:bottom w:val="single" w:sz="4" w:space="0" w:color="auto"/>
            </w:tcBorders>
            <w:vAlign w:val="bottom"/>
          </w:tcPr>
          <w:p w14:paraId="203F861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98.9 (98.0-99.8)</w:t>
            </w:r>
          </w:p>
        </w:tc>
        <w:tc>
          <w:tcPr>
            <w:tcW w:w="1843" w:type="dxa"/>
            <w:tcBorders>
              <w:top w:val="single" w:sz="4" w:space="0" w:color="auto"/>
              <w:bottom w:val="single" w:sz="4" w:space="0" w:color="auto"/>
            </w:tcBorders>
            <w:vAlign w:val="bottom"/>
          </w:tcPr>
          <w:p w14:paraId="4007FF4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98.9 (98.0-99.8)</w:t>
            </w:r>
          </w:p>
        </w:tc>
      </w:tr>
      <w:tr w:rsidR="0064507B" w:rsidRPr="00112DB6" w14:paraId="668E6C97" w14:textId="77777777" w:rsidTr="009E51EE">
        <w:tc>
          <w:tcPr>
            <w:tcW w:w="3119" w:type="dxa"/>
            <w:tcBorders>
              <w:top w:val="single" w:sz="4" w:space="0" w:color="auto"/>
              <w:bottom w:val="single" w:sz="4" w:space="0" w:color="auto"/>
            </w:tcBorders>
            <w:vAlign w:val="bottom"/>
          </w:tcPr>
          <w:p w14:paraId="6FD108B2"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Respiratory system</w:t>
            </w:r>
          </w:p>
        </w:tc>
        <w:tc>
          <w:tcPr>
            <w:tcW w:w="1276" w:type="dxa"/>
            <w:tcBorders>
              <w:top w:val="single" w:sz="4" w:space="0" w:color="auto"/>
              <w:bottom w:val="single" w:sz="4" w:space="0" w:color="auto"/>
            </w:tcBorders>
          </w:tcPr>
          <w:p w14:paraId="41477C5D"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6E7AE49B"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7BA112EE"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6D6021C7"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1BFCD019"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4CC80BD9"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317B6996" w14:textId="77777777" w:rsidR="0064507B" w:rsidRPr="00112DB6" w:rsidRDefault="0064507B" w:rsidP="009E51EE">
            <w:pPr>
              <w:spacing w:before="0" w:after="0" w:line="360" w:lineRule="auto"/>
              <w:rPr>
                <w:rFonts w:cs="Times New Roman"/>
                <w:sz w:val="20"/>
                <w:szCs w:val="20"/>
                <w:lang w:val="en-US"/>
              </w:rPr>
            </w:pPr>
          </w:p>
        </w:tc>
      </w:tr>
      <w:tr w:rsidR="0064507B" w:rsidRPr="00112DB6" w14:paraId="1DDD2D1B" w14:textId="77777777" w:rsidTr="009E51EE">
        <w:tc>
          <w:tcPr>
            <w:tcW w:w="3119" w:type="dxa"/>
            <w:tcBorders>
              <w:top w:val="single" w:sz="4" w:space="0" w:color="auto"/>
              <w:bottom w:val="single" w:sz="4" w:space="0" w:color="auto"/>
            </w:tcBorders>
            <w:vAlign w:val="bottom"/>
          </w:tcPr>
          <w:p w14:paraId="00E8D98A"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Cystic adenomatous malformation of lung</w:t>
            </w:r>
          </w:p>
        </w:tc>
        <w:tc>
          <w:tcPr>
            <w:tcW w:w="1276" w:type="dxa"/>
            <w:tcBorders>
              <w:top w:val="single" w:sz="4" w:space="0" w:color="auto"/>
              <w:bottom w:val="single" w:sz="4" w:space="0" w:color="auto"/>
            </w:tcBorders>
            <w:vAlign w:val="bottom"/>
          </w:tcPr>
          <w:p w14:paraId="7FEE403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349</w:t>
            </w:r>
          </w:p>
        </w:tc>
        <w:tc>
          <w:tcPr>
            <w:tcW w:w="1275" w:type="dxa"/>
            <w:tcBorders>
              <w:top w:val="single" w:sz="4" w:space="0" w:color="auto"/>
              <w:bottom w:val="single" w:sz="4" w:space="0" w:color="auto"/>
            </w:tcBorders>
            <w:vAlign w:val="bottom"/>
          </w:tcPr>
          <w:p w14:paraId="7221BFC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w:t>
            </w:r>
          </w:p>
        </w:tc>
        <w:tc>
          <w:tcPr>
            <w:tcW w:w="1843" w:type="dxa"/>
            <w:tcBorders>
              <w:top w:val="single" w:sz="4" w:space="0" w:color="auto"/>
              <w:bottom w:val="single" w:sz="4" w:space="0" w:color="auto"/>
            </w:tcBorders>
            <w:vAlign w:val="bottom"/>
          </w:tcPr>
          <w:p w14:paraId="13C796E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99.1 (98.1-100.0)</w:t>
            </w:r>
          </w:p>
        </w:tc>
        <w:tc>
          <w:tcPr>
            <w:tcW w:w="1985" w:type="dxa"/>
            <w:tcBorders>
              <w:top w:val="single" w:sz="4" w:space="0" w:color="auto"/>
              <w:bottom w:val="single" w:sz="4" w:space="0" w:color="auto"/>
            </w:tcBorders>
            <w:vAlign w:val="bottom"/>
          </w:tcPr>
          <w:p w14:paraId="6AF4F2C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(97.5-99.9)</w:t>
            </w:r>
          </w:p>
        </w:tc>
        <w:tc>
          <w:tcPr>
            <w:tcW w:w="1842" w:type="dxa"/>
            <w:tcBorders>
              <w:top w:val="single" w:sz="4" w:space="0" w:color="auto"/>
              <w:bottom w:val="single" w:sz="4" w:space="0" w:color="auto"/>
            </w:tcBorders>
            <w:vAlign w:val="bottom"/>
          </w:tcPr>
          <w:p w14:paraId="5211EA5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(97.5-99.9)</w:t>
            </w:r>
          </w:p>
        </w:tc>
        <w:tc>
          <w:tcPr>
            <w:tcW w:w="1843" w:type="dxa"/>
            <w:tcBorders>
              <w:top w:val="single" w:sz="4" w:space="0" w:color="auto"/>
              <w:bottom w:val="single" w:sz="4" w:space="0" w:color="auto"/>
            </w:tcBorders>
            <w:vAlign w:val="bottom"/>
          </w:tcPr>
          <w:p w14:paraId="145730B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(97.5-99.9)</w:t>
            </w:r>
          </w:p>
        </w:tc>
        <w:tc>
          <w:tcPr>
            <w:tcW w:w="1843" w:type="dxa"/>
            <w:tcBorders>
              <w:top w:val="single" w:sz="4" w:space="0" w:color="auto"/>
              <w:bottom w:val="single" w:sz="4" w:space="0" w:color="auto"/>
            </w:tcBorders>
            <w:vAlign w:val="bottom"/>
          </w:tcPr>
          <w:p w14:paraId="6FF4D00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(97.5-99.9)</w:t>
            </w:r>
          </w:p>
        </w:tc>
      </w:tr>
      <w:tr w:rsidR="0064507B" w:rsidRPr="00112DB6" w14:paraId="0CBF7835" w14:textId="77777777" w:rsidTr="009E51EE">
        <w:tc>
          <w:tcPr>
            <w:tcW w:w="3119" w:type="dxa"/>
            <w:tcBorders>
              <w:top w:val="single" w:sz="4" w:space="0" w:color="auto"/>
              <w:bottom w:val="single" w:sz="4" w:space="0" w:color="auto"/>
            </w:tcBorders>
            <w:vAlign w:val="bottom"/>
          </w:tcPr>
          <w:p w14:paraId="49181DD4"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Orofacial clefts</w:t>
            </w:r>
          </w:p>
        </w:tc>
        <w:tc>
          <w:tcPr>
            <w:tcW w:w="1276" w:type="dxa"/>
            <w:tcBorders>
              <w:top w:val="single" w:sz="4" w:space="0" w:color="auto"/>
              <w:bottom w:val="single" w:sz="4" w:space="0" w:color="auto"/>
            </w:tcBorders>
          </w:tcPr>
          <w:p w14:paraId="3D3D309F"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6F7F1F19"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7AD8EC07"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6EE3C2C0"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32B3237B"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D64F689"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455298DF" w14:textId="77777777" w:rsidR="0064507B" w:rsidRPr="00112DB6" w:rsidRDefault="0064507B" w:rsidP="009E51EE">
            <w:pPr>
              <w:spacing w:before="0" w:after="0" w:line="360" w:lineRule="auto"/>
              <w:rPr>
                <w:rFonts w:cs="Times New Roman"/>
                <w:sz w:val="20"/>
                <w:szCs w:val="20"/>
                <w:lang w:val="en-US"/>
              </w:rPr>
            </w:pPr>
          </w:p>
        </w:tc>
      </w:tr>
      <w:tr w:rsidR="0064507B" w:rsidRPr="00112DB6" w14:paraId="6C45A3CD" w14:textId="77777777" w:rsidTr="009E51EE">
        <w:tc>
          <w:tcPr>
            <w:tcW w:w="3119" w:type="dxa"/>
            <w:tcBorders>
              <w:top w:val="single" w:sz="4" w:space="0" w:color="auto"/>
              <w:bottom w:val="single" w:sz="4" w:space="0" w:color="auto"/>
            </w:tcBorders>
            <w:vAlign w:val="bottom"/>
          </w:tcPr>
          <w:p w14:paraId="287350E3"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Cleft lip with or without cleft palate</w:t>
            </w:r>
          </w:p>
        </w:tc>
        <w:tc>
          <w:tcPr>
            <w:tcW w:w="1276" w:type="dxa"/>
            <w:tcBorders>
              <w:top w:val="single" w:sz="4" w:space="0" w:color="auto"/>
              <w:bottom w:val="single" w:sz="4" w:space="0" w:color="auto"/>
            </w:tcBorders>
            <w:vAlign w:val="bottom"/>
          </w:tcPr>
          <w:p w14:paraId="6AF2E0D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2811</w:t>
            </w:r>
          </w:p>
        </w:tc>
        <w:tc>
          <w:tcPr>
            <w:tcW w:w="1275" w:type="dxa"/>
            <w:tcBorders>
              <w:top w:val="single" w:sz="4" w:space="0" w:color="auto"/>
              <w:bottom w:val="single" w:sz="4" w:space="0" w:color="auto"/>
            </w:tcBorders>
            <w:vAlign w:val="bottom"/>
          </w:tcPr>
          <w:p w14:paraId="02A78F4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14</w:t>
            </w:r>
          </w:p>
        </w:tc>
        <w:tc>
          <w:tcPr>
            <w:tcW w:w="1843" w:type="dxa"/>
            <w:tcBorders>
              <w:top w:val="single" w:sz="4" w:space="0" w:color="auto"/>
              <w:bottom w:val="single" w:sz="4" w:space="0" w:color="auto"/>
            </w:tcBorders>
            <w:vAlign w:val="bottom"/>
          </w:tcPr>
          <w:p w14:paraId="7130C9F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(99.8-100.0)</w:t>
            </w:r>
          </w:p>
        </w:tc>
        <w:tc>
          <w:tcPr>
            <w:tcW w:w="1985" w:type="dxa"/>
            <w:tcBorders>
              <w:top w:val="single" w:sz="4" w:space="0" w:color="auto"/>
              <w:bottom w:val="single" w:sz="4" w:space="0" w:color="auto"/>
            </w:tcBorders>
            <w:vAlign w:val="bottom"/>
          </w:tcPr>
          <w:p w14:paraId="77C02E5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(99.8-100.0)</w:t>
            </w:r>
          </w:p>
        </w:tc>
        <w:tc>
          <w:tcPr>
            <w:tcW w:w="1842" w:type="dxa"/>
            <w:tcBorders>
              <w:top w:val="single" w:sz="4" w:space="0" w:color="auto"/>
              <w:bottom w:val="single" w:sz="4" w:space="0" w:color="auto"/>
            </w:tcBorders>
            <w:vAlign w:val="bottom"/>
          </w:tcPr>
          <w:p w14:paraId="22BFBAD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(99.6-100.0)</w:t>
            </w:r>
          </w:p>
        </w:tc>
        <w:tc>
          <w:tcPr>
            <w:tcW w:w="1843" w:type="dxa"/>
            <w:tcBorders>
              <w:top w:val="single" w:sz="4" w:space="0" w:color="auto"/>
              <w:bottom w:val="single" w:sz="4" w:space="0" w:color="auto"/>
            </w:tcBorders>
            <w:vAlign w:val="bottom"/>
          </w:tcPr>
          <w:p w14:paraId="306EC8B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(99.6-100.0)</w:t>
            </w:r>
          </w:p>
        </w:tc>
        <w:tc>
          <w:tcPr>
            <w:tcW w:w="1843" w:type="dxa"/>
            <w:tcBorders>
              <w:top w:val="single" w:sz="4" w:space="0" w:color="auto"/>
              <w:bottom w:val="single" w:sz="4" w:space="0" w:color="auto"/>
            </w:tcBorders>
            <w:vAlign w:val="bottom"/>
          </w:tcPr>
          <w:p w14:paraId="251686F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(99.6-100.0)</w:t>
            </w:r>
          </w:p>
        </w:tc>
      </w:tr>
      <w:tr w:rsidR="0064507B" w:rsidRPr="00112DB6" w14:paraId="73464CA8" w14:textId="77777777" w:rsidTr="009E51EE">
        <w:tc>
          <w:tcPr>
            <w:tcW w:w="3119" w:type="dxa"/>
            <w:tcBorders>
              <w:top w:val="single" w:sz="4" w:space="0" w:color="auto"/>
              <w:bottom w:val="single" w:sz="4" w:space="0" w:color="auto"/>
            </w:tcBorders>
            <w:vAlign w:val="bottom"/>
          </w:tcPr>
          <w:p w14:paraId="46A9CE08"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Cleft palate</w:t>
            </w:r>
          </w:p>
        </w:tc>
        <w:tc>
          <w:tcPr>
            <w:tcW w:w="1276" w:type="dxa"/>
            <w:tcBorders>
              <w:top w:val="single" w:sz="4" w:space="0" w:color="auto"/>
              <w:bottom w:val="single" w:sz="4" w:space="0" w:color="auto"/>
            </w:tcBorders>
            <w:vAlign w:val="bottom"/>
          </w:tcPr>
          <w:p w14:paraId="7B51EBB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1882</w:t>
            </w:r>
          </w:p>
        </w:tc>
        <w:tc>
          <w:tcPr>
            <w:tcW w:w="1275" w:type="dxa"/>
            <w:tcBorders>
              <w:top w:val="single" w:sz="4" w:space="0" w:color="auto"/>
              <w:bottom w:val="single" w:sz="4" w:space="0" w:color="auto"/>
            </w:tcBorders>
            <w:vAlign w:val="bottom"/>
          </w:tcPr>
          <w:p w14:paraId="10CD7B8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w:t>
            </w:r>
          </w:p>
        </w:tc>
        <w:tc>
          <w:tcPr>
            <w:tcW w:w="1843" w:type="dxa"/>
            <w:tcBorders>
              <w:top w:val="single" w:sz="4" w:space="0" w:color="auto"/>
              <w:bottom w:val="single" w:sz="4" w:space="0" w:color="auto"/>
            </w:tcBorders>
            <w:vAlign w:val="bottom"/>
          </w:tcPr>
          <w:p w14:paraId="36093AD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100.0 (99.9-100.0)</w:t>
            </w:r>
          </w:p>
        </w:tc>
        <w:tc>
          <w:tcPr>
            <w:tcW w:w="1985" w:type="dxa"/>
            <w:tcBorders>
              <w:top w:val="single" w:sz="4" w:space="0" w:color="auto"/>
              <w:bottom w:val="single" w:sz="4" w:space="0" w:color="auto"/>
            </w:tcBorders>
            <w:vAlign w:val="bottom"/>
          </w:tcPr>
          <w:p w14:paraId="1B24396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(99.6-100.0)</w:t>
            </w:r>
          </w:p>
        </w:tc>
        <w:tc>
          <w:tcPr>
            <w:tcW w:w="1842" w:type="dxa"/>
            <w:tcBorders>
              <w:top w:val="single" w:sz="4" w:space="0" w:color="auto"/>
              <w:bottom w:val="single" w:sz="4" w:space="0" w:color="auto"/>
            </w:tcBorders>
            <w:vAlign w:val="bottom"/>
          </w:tcPr>
          <w:p w14:paraId="57BB0DB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99.7 (99.3-100.0)</w:t>
            </w:r>
          </w:p>
        </w:tc>
        <w:tc>
          <w:tcPr>
            <w:tcW w:w="1843" w:type="dxa"/>
            <w:tcBorders>
              <w:top w:val="single" w:sz="4" w:space="0" w:color="auto"/>
              <w:bottom w:val="single" w:sz="4" w:space="0" w:color="auto"/>
            </w:tcBorders>
            <w:vAlign w:val="bottom"/>
          </w:tcPr>
          <w:p w14:paraId="3E09210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(99.1-100.0)</w:t>
            </w:r>
          </w:p>
        </w:tc>
        <w:tc>
          <w:tcPr>
            <w:tcW w:w="1843" w:type="dxa"/>
            <w:tcBorders>
              <w:top w:val="single" w:sz="4" w:space="0" w:color="auto"/>
              <w:bottom w:val="single" w:sz="4" w:space="0" w:color="auto"/>
            </w:tcBorders>
            <w:vAlign w:val="bottom"/>
          </w:tcPr>
          <w:p w14:paraId="7F441E2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(99.1-100.0)</w:t>
            </w:r>
          </w:p>
        </w:tc>
      </w:tr>
      <w:tr w:rsidR="0064507B" w:rsidRPr="00112DB6" w14:paraId="72DDB48A" w14:textId="77777777" w:rsidTr="009E51EE">
        <w:tc>
          <w:tcPr>
            <w:tcW w:w="3119" w:type="dxa"/>
            <w:tcBorders>
              <w:top w:val="single" w:sz="4" w:space="0" w:color="auto"/>
              <w:bottom w:val="single" w:sz="4" w:space="0" w:color="auto"/>
            </w:tcBorders>
            <w:vAlign w:val="bottom"/>
          </w:tcPr>
          <w:p w14:paraId="6AF7BEBE"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Digestive system</w:t>
            </w:r>
          </w:p>
        </w:tc>
        <w:tc>
          <w:tcPr>
            <w:tcW w:w="1276" w:type="dxa"/>
            <w:tcBorders>
              <w:top w:val="single" w:sz="4" w:space="0" w:color="auto"/>
              <w:bottom w:val="single" w:sz="4" w:space="0" w:color="auto"/>
            </w:tcBorders>
          </w:tcPr>
          <w:p w14:paraId="3D5D66A6"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4337D03C"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4F3C7725"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5DB3AF1D"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5151E239"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4D6073C2"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845A528" w14:textId="77777777" w:rsidR="0064507B" w:rsidRPr="00112DB6" w:rsidRDefault="0064507B" w:rsidP="009E51EE">
            <w:pPr>
              <w:spacing w:before="0" w:after="0" w:line="360" w:lineRule="auto"/>
              <w:rPr>
                <w:rFonts w:cs="Times New Roman"/>
                <w:sz w:val="20"/>
                <w:szCs w:val="20"/>
                <w:lang w:val="en-US"/>
              </w:rPr>
            </w:pPr>
          </w:p>
        </w:tc>
      </w:tr>
      <w:tr w:rsidR="0064507B" w:rsidRPr="00112DB6" w14:paraId="46E56DCA" w14:textId="77777777" w:rsidTr="009E51EE">
        <w:tc>
          <w:tcPr>
            <w:tcW w:w="3119" w:type="dxa"/>
            <w:tcBorders>
              <w:top w:val="single" w:sz="4" w:space="0" w:color="auto"/>
              <w:bottom w:val="single" w:sz="4" w:space="0" w:color="auto"/>
            </w:tcBorders>
            <w:vAlign w:val="bottom"/>
          </w:tcPr>
          <w:p w14:paraId="3E63F723"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 xml:space="preserve">Esophageal atresia with or without </w:t>
            </w:r>
            <w:proofErr w:type="spellStart"/>
            <w:r w:rsidRPr="00112DB6">
              <w:rPr>
                <w:rFonts w:cs="Times New Roman"/>
                <w:sz w:val="20"/>
                <w:szCs w:val="20"/>
                <w:lang w:val="en-US"/>
              </w:rPr>
              <w:t>tracheo</w:t>
            </w:r>
            <w:proofErr w:type="spellEnd"/>
            <w:r w:rsidRPr="00112DB6">
              <w:rPr>
                <w:rFonts w:cs="Times New Roman"/>
                <w:sz w:val="20"/>
                <w:szCs w:val="20"/>
                <w:lang w:val="en-US"/>
              </w:rPr>
              <w:t>-esophageal fistula</w:t>
            </w:r>
          </w:p>
        </w:tc>
        <w:tc>
          <w:tcPr>
            <w:tcW w:w="1276" w:type="dxa"/>
            <w:tcBorders>
              <w:top w:val="single" w:sz="4" w:space="0" w:color="auto"/>
              <w:bottom w:val="single" w:sz="4" w:space="0" w:color="auto"/>
            </w:tcBorders>
            <w:vAlign w:val="bottom"/>
          </w:tcPr>
          <w:p w14:paraId="1C0CCDD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451</w:t>
            </w:r>
          </w:p>
        </w:tc>
        <w:tc>
          <w:tcPr>
            <w:tcW w:w="1275" w:type="dxa"/>
            <w:tcBorders>
              <w:top w:val="single" w:sz="4" w:space="0" w:color="auto"/>
              <w:bottom w:val="single" w:sz="4" w:space="0" w:color="auto"/>
            </w:tcBorders>
            <w:vAlign w:val="bottom"/>
          </w:tcPr>
          <w:p w14:paraId="32424A1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22</w:t>
            </w:r>
          </w:p>
        </w:tc>
        <w:tc>
          <w:tcPr>
            <w:tcW w:w="1843" w:type="dxa"/>
            <w:tcBorders>
              <w:top w:val="single" w:sz="4" w:space="0" w:color="auto"/>
              <w:bottom w:val="single" w:sz="4" w:space="0" w:color="auto"/>
            </w:tcBorders>
            <w:vAlign w:val="bottom"/>
          </w:tcPr>
          <w:p w14:paraId="34210DA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98.8 (97.6-100.0)</w:t>
            </w:r>
          </w:p>
        </w:tc>
        <w:tc>
          <w:tcPr>
            <w:tcW w:w="1985" w:type="dxa"/>
            <w:tcBorders>
              <w:top w:val="single" w:sz="4" w:space="0" w:color="auto"/>
              <w:bottom w:val="single" w:sz="4" w:space="0" w:color="auto"/>
            </w:tcBorders>
            <w:vAlign w:val="bottom"/>
          </w:tcPr>
          <w:p w14:paraId="73167DF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98.2 (96.9-99.6)</w:t>
            </w:r>
          </w:p>
        </w:tc>
        <w:tc>
          <w:tcPr>
            <w:tcW w:w="1842" w:type="dxa"/>
            <w:tcBorders>
              <w:top w:val="single" w:sz="4" w:space="0" w:color="auto"/>
              <w:bottom w:val="single" w:sz="4" w:space="0" w:color="auto"/>
            </w:tcBorders>
            <w:vAlign w:val="bottom"/>
          </w:tcPr>
          <w:p w14:paraId="40EB379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97.1 (95.5-98.8)</w:t>
            </w:r>
          </w:p>
        </w:tc>
        <w:tc>
          <w:tcPr>
            <w:tcW w:w="1843" w:type="dxa"/>
            <w:tcBorders>
              <w:top w:val="single" w:sz="4" w:space="0" w:color="auto"/>
              <w:bottom w:val="single" w:sz="4" w:space="0" w:color="auto"/>
            </w:tcBorders>
            <w:vAlign w:val="bottom"/>
          </w:tcPr>
          <w:p w14:paraId="1AC03AA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96.8 (95.1-98.5)</w:t>
            </w:r>
          </w:p>
        </w:tc>
        <w:tc>
          <w:tcPr>
            <w:tcW w:w="1843" w:type="dxa"/>
            <w:tcBorders>
              <w:top w:val="single" w:sz="4" w:space="0" w:color="auto"/>
              <w:bottom w:val="single" w:sz="4" w:space="0" w:color="auto"/>
            </w:tcBorders>
            <w:vAlign w:val="bottom"/>
          </w:tcPr>
          <w:p w14:paraId="5B96E53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96.8 (95.1-98.5)</w:t>
            </w:r>
          </w:p>
        </w:tc>
      </w:tr>
      <w:tr w:rsidR="0064507B" w:rsidRPr="00112DB6" w14:paraId="066D9E13" w14:textId="77777777" w:rsidTr="009E51EE">
        <w:tc>
          <w:tcPr>
            <w:tcW w:w="3119" w:type="dxa"/>
            <w:tcBorders>
              <w:top w:val="single" w:sz="4" w:space="0" w:color="auto"/>
              <w:bottom w:val="single" w:sz="4" w:space="0" w:color="auto"/>
            </w:tcBorders>
            <w:vAlign w:val="bottom"/>
          </w:tcPr>
          <w:p w14:paraId="6AB1B84B"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Duodenal atresia or stenosis</w:t>
            </w:r>
          </w:p>
        </w:tc>
        <w:tc>
          <w:tcPr>
            <w:tcW w:w="1276" w:type="dxa"/>
            <w:tcBorders>
              <w:top w:val="single" w:sz="4" w:space="0" w:color="auto"/>
              <w:bottom w:val="single" w:sz="4" w:space="0" w:color="auto"/>
            </w:tcBorders>
            <w:vAlign w:val="bottom"/>
          </w:tcPr>
          <w:p w14:paraId="3EF8144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270</w:t>
            </w:r>
          </w:p>
        </w:tc>
        <w:tc>
          <w:tcPr>
            <w:tcW w:w="1275" w:type="dxa"/>
            <w:tcBorders>
              <w:top w:val="single" w:sz="4" w:space="0" w:color="auto"/>
              <w:bottom w:val="single" w:sz="4" w:space="0" w:color="auto"/>
            </w:tcBorders>
            <w:vAlign w:val="bottom"/>
          </w:tcPr>
          <w:p w14:paraId="4E2DB08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w:t>
            </w:r>
          </w:p>
        </w:tc>
        <w:tc>
          <w:tcPr>
            <w:tcW w:w="1843" w:type="dxa"/>
            <w:tcBorders>
              <w:top w:val="single" w:sz="4" w:space="0" w:color="auto"/>
              <w:bottom w:val="single" w:sz="4" w:space="0" w:color="auto"/>
            </w:tcBorders>
            <w:vAlign w:val="bottom"/>
          </w:tcPr>
          <w:p w14:paraId="49D9ACE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(99.4-100.0)</w:t>
            </w:r>
          </w:p>
        </w:tc>
        <w:tc>
          <w:tcPr>
            <w:tcW w:w="1985" w:type="dxa"/>
            <w:tcBorders>
              <w:top w:val="single" w:sz="4" w:space="0" w:color="auto"/>
              <w:bottom w:val="single" w:sz="4" w:space="0" w:color="auto"/>
            </w:tcBorders>
            <w:vAlign w:val="bottom"/>
          </w:tcPr>
          <w:p w14:paraId="3ECB7B9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99.5 (98.7-100.0)</w:t>
            </w:r>
          </w:p>
        </w:tc>
        <w:tc>
          <w:tcPr>
            <w:tcW w:w="1842" w:type="dxa"/>
            <w:tcBorders>
              <w:top w:val="single" w:sz="4" w:space="0" w:color="auto"/>
              <w:bottom w:val="single" w:sz="4" w:space="0" w:color="auto"/>
            </w:tcBorders>
            <w:vAlign w:val="bottom"/>
          </w:tcPr>
          <w:p w14:paraId="1F51A0A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98.2 (96.6-99.8)</w:t>
            </w:r>
          </w:p>
        </w:tc>
        <w:tc>
          <w:tcPr>
            <w:tcW w:w="1843" w:type="dxa"/>
            <w:tcBorders>
              <w:top w:val="single" w:sz="4" w:space="0" w:color="auto"/>
              <w:bottom w:val="single" w:sz="4" w:space="0" w:color="auto"/>
            </w:tcBorders>
            <w:vAlign w:val="bottom"/>
          </w:tcPr>
          <w:p w14:paraId="198E15F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97.9 (96.2-99.6)</w:t>
            </w:r>
          </w:p>
        </w:tc>
        <w:tc>
          <w:tcPr>
            <w:tcW w:w="1843" w:type="dxa"/>
            <w:tcBorders>
              <w:top w:val="single" w:sz="4" w:space="0" w:color="auto"/>
              <w:bottom w:val="single" w:sz="4" w:space="0" w:color="auto"/>
            </w:tcBorders>
            <w:vAlign w:val="bottom"/>
          </w:tcPr>
          <w:p w14:paraId="7AED8E0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97.7 (95.9-99.7)</w:t>
            </w:r>
          </w:p>
        </w:tc>
      </w:tr>
      <w:tr w:rsidR="0064507B" w:rsidRPr="00112DB6" w14:paraId="4A7EBA30" w14:textId="77777777" w:rsidTr="009E51EE">
        <w:tc>
          <w:tcPr>
            <w:tcW w:w="3119" w:type="dxa"/>
            <w:tcBorders>
              <w:top w:val="single" w:sz="4" w:space="0" w:color="auto"/>
              <w:bottom w:val="single" w:sz="4" w:space="0" w:color="auto"/>
            </w:tcBorders>
            <w:vAlign w:val="bottom"/>
          </w:tcPr>
          <w:p w14:paraId="3655ECFC"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Atresia or stenosis of other parts of small intestine</w:t>
            </w:r>
          </w:p>
        </w:tc>
        <w:tc>
          <w:tcPr>
            <w:tcW w:w="1276" w:type="dxa"/>
            <w:tcBorders>
              <w:top w:val="single" w:sz="4" w:space="0" w:color="auto"/>
              <w:bottom w:val="single" w:sz="4" w:space="0" w:color="auto"/>
            </w:tcBorders>
            <w:vAlign w:val="bottom"/>
          </w:tcPr>
          <w:p w14:paraId="19714E3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282</w:t>
            </w:r>
          </w:p>
        </w:tc>
        <w:tc>
          <w:tcPr>
            <w:tcW w:w="1275" w:type="dxa"/>
            <w:tcBorders>
              <w:top w:val="single" w:sz="4" w:space="0" w:color="auto"/>
              <w:bottom w:val="single" w:sz="4" w:space="0" w:color="auto"/>
            </w:tcBorders>
            <w:vAlign w:val="bottom"/>
          </w:tcPr>
          <w:p w14:paraId="2AD2AFE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17</w:t>
            </w:r>
          </w:p>
        </w:tc>
        <w:tc>
          <w:tcPr>
            <w:tcW w:w="1843" w:type="dxa"/>
            <w:tcBorders>
              <w:top w:val="single" w:sz="4" w:space="0" w:color="auto"/>
              <w:bottom w:val="single" w:sz="4" w:space="0" w:color="auto"/>
            </w:tcBorders>
            <w:vAlign w:val="bottom"/>
          </w:tcPr>
          <w:p w14:paraId="6FB330E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98.9 (97.7-100.0)</w:t>
            </w:r>
          </w:p>
        </w:tc>
        <w:tc>
          <w:tcPr>
            <w:tcW w:w="1985" w:type="dxa"/>
            <w:tcBorders>
              <w:top w:val="single" w:sz="4" w:space="0" w:color="auto"/>
              <w:bottom w:val="single" w:sz="4" w:space="0" w:color="auto"/>
            </w:tcBorders>
            <w:vAlign w:val="bottom"/>
          </w:tcPr>
          <w:p w14:paraId="4867A45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98.2 (96.6-99.8)</w:t>
            </w:r>
          </w:p>
        </w:tc>
        <w:tc>
          <w:tcPr>
            <w:tcW w:w="1842" w:type="dxa"/>
            <w:tcBorders>
              <w:top w:val="single" w:sz="4" w:space="0" w:color="auto"/>
              <w:bottom w:val="single" w:sz="4" w:space="0" w:color="auto"/>
            </w:tcBorders>
            <w:vAlign w:val="bottom"/>
          </w:tcPr>
          <w:p w14:paraId="4B17C39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96.5 (94.3-98.7)</w:t>
            </w:r>
          </w:p>
        </w:tc>
        <w:tc>
          <w:tcPr>
            <w:tcW w:w="1843" w:type="dxa"/>
            <w:tcBorders>
              <w:top w:val="single" w:sz="4" w:space="0" w:color="auto"/>
              <w:bottom w:val="single" w:sz="4" w:space="0" w:color="auto"/>
            </w:tcBorders>
            <w:vAlign w:val="bottom"/>
          </w:tcPr>
          <w:p w14:paraId="69B8587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95.9 (93.6-98.3)</w:t>
            </w:r>
          </w:p>
        </w:tc>
        <w:tc>
          <w:tcPr>
            <w:tcW w:w="1843" w:type="dxa"/>
            <w:tcBorders>
              <w:top w:val="single" w:sz="4" w:space="0" w:color="auto"/>
              <w:bottom w:val="single" w:sz="4" w:space="0" w:color="auto"/>
            </w:tcBorders>
            <w:vAlign w:val="bottom"/>
          </w:tcPr>
          <w:p w14:paraId="6026C5C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95.6 (92.5-98.9)</w:t>
            </w:r>
          </w:p>
        </w:tc>
      </w:tr>
      <w:tr w:rsidR="0064507B" w:rsidRPr="00112DB6" w14:paraId="4C29F40C" w14:textId="77777777" w:rsidTr="009E51EE">
        <w:tc>
          <w:tcPr>
            <w:tcW w:w="3119" w:type="dxa"/>
            <w:tcBorders>
              <w:top w:val="single" w:sz="4" w:space="0" w:color="auto"/>
              <w:bottom w:val="single" w:sz="4" w:space="0" w:color="auto"/>
            </w:tcBorders>
            <w:vAlign w:val="bottom"/>
          </w:tcPr>
          <w:p w14:paraId="7AB99B2D"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Ano</w:t>
            </w:r>
            <w:proofErr w:type="spellEnd"/>
            <w:r w:rsidRPr="00112DB6">
              <w:rPr>
                <w:rFonts w:cs="Times New Roman"/>
                <w:sz w:val="20"/>
                <w:szCs w:val="20"/>
                <w:lang w:val="en-US"/>
              </w:rPr>
              <w:t>-rectal atresia and stenosis</w:t>
            </w:r>
          </w:p>
        </w:tc>
        <w:tc>
          <w:tcPr>
            <w:tcW w:w="1276" w:type="dxa"/>
            <w:tcBorders>
              <w:top w:val="single" w:sz="4" w:space="0" w:color="auto"/>
              <w:bottom w:val="single" w:sz="4" w:space="0" w:color="auto"/>
            </w:tcBorders>
            <w:vAlign w:val="bottom"/>
          </w:tcPr>
          <w:p w14:paraId="3D83021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432</w:t>
            </w:r>
          </w:p>
        </w:tc>
        <w:tc>
          <w:tcPr>
            <w:tcW w:w="1275" w:type="dxa"/>
            <w:tcBorders>
              <w:top w:val="single" w:sz="4" w:space="0" w:color="auto"/>
              <w:bottom w:val="single" w:sz="4" w:space="0" w:color="auto"/>
            </w:tcBorders>
            <w:vAlign w:val="bottom"/>
          </w:tcPr>
          <w:p w14:paraId="65F3DFD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w:t>
            </w:r>
          </w:p>
        </w:tc>
        <w:tc>
          <w:tcPr>
            <w:tcW w:w="1843" w:type="dxa"/>
            <w:tcBorders>
              <w:top w:val="single" w:sz="4" w:space="0" w:color="auto"/>
              <w:bottom w:val="single" w:sz="4" w:space="0" w:color="auto"/>
            </w:tcBorders>
            <w:vAlign w:val="bottom"/>
          </w:tcPr>
          <w:p w14:paraId="57DEC00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99.5 (98.7-100.0)</w:t>
            </w:r>
          </w:p>
        </w:tc>
        <w:tc>
          <w:tcPr>
            <w:tcW w:w="1985" w:type="dxa"/>
            <w:tcBorders>
              <w:top w:val="single" w:sz="4" w:space="0" w:color="auto"/>
              <w:bottom w:val="single" w:sz="4" w:space="0" w:color="auto"/>
            </w:tcBorders>
            <w:vAlign w:val="bottom"/>
          </w:tcPr>
          <w:p w14:paraId="177A8C1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99.4 (98.6-100.0)</w:t>
            </w:r>
          </w:p>
        </w:tc>
        <w:tc>
          <w:tcPr>
            <w:tcW w:w="1842" w:type="dxa"/>
            <w:tcBorders>
              <w:top w:val="single" w:sz="4" w:space="0" w:color="auto"/>
              <w:bottom w:val="single" w:sz="4" w:space="0" w:color="auto"/>
            </w:tcBorders>
            <w:vAlign w:val="bottom"/>
          </w:tcPr>
          <w:p w14:paraId="535E02C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99.0 (97.9-100.0)</w:t>
            </w:r>
          </w:p>
        </w:tc>
        <w:tc>
          <w:tcPr>
            <w:tcW w:w="1843" w:type="dxa"/>
            <w:tcBorders>
              <w:top w:val="single" w:sz="4" w:space="0" w:color="auto"/>
              <w:bottom w:val="single" w:sz="4" w:space="0" w:color="auto"/>
            </w:tcBorders>
            <w:vAlign w:val="bottom"/>
          </w:tcPr>
          <w:p w14:paraId="589CBE9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(97.3-100.0)</w:t>
            </w:r>
          </w:p>
        </w:tc>
        <w:tc>
          <w:tcPr>
            <w:tcW w:w="1843" w:type="dxa"/>
            <w:tcBorders>
              <w:top w:val="single" w:sz="4" w:space="0" w:color="auto"/>
              <w:bottom w:val="single" w:sz="4" w:space="0" w:color="auto"/>
            </w:tcBorders>
            <w:vAlign w:val="bottom"/>
          </w:tcPr>
          <w:p w14:paraId="1048993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98.6 (97.2-100.0)</w:t>
            </w:r>
          </w:p>
        </w:tc>
      </w:tr>
      <w:tr w:rsidR="0064507B" w:rsidRPr="00112DB6" w14:paraId="2453FA72" w14:textId="77777777" w:rsidTr="009E51EE">
        <w:tc>
          <w:tcPr>
            <w:tcW w:w="3119" w:type="dxa"/>
            <w:tcBorders>
              <w:top w:val="single" w:sz="4" w:space="0" w:color="auto"/>
              <w:bottom w:val="single" w:sz="4" w:space="0" w:color="auto"/>
            </w:tcBorders>
            <w:vAlign w:val="bottom"/>
          </w:tcPr>
          <w:p w14:paraId="008444E2"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Diaphragmatic hernia</w:t>
            </w:r>
          </w:p>
        </w:tc>
        <w:tc>
          <w:tcPr>
            <w:tcW w:w="1276" w:type="dxa"/>
            <w:tcBorders>
              <w:top w:val="single" w:sz="4" w:space="0" w:color="auto"/>
              <w:bottom w:val="single" w:sz="4" w:space="0" w:color="auto"/>
            </w:tcBorders>
            <w:vAlign w:val="bottom"/>
          </w:tcPr>
          <w:p w14:paraId="6D53416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565</w:t>
            </w:r>
          </w:p>
        </w:tc>
        <w:tc>
          <w:tcPr>
            <w:tcW w:w="1275" w:type="dxa"/>
            <w:tcBorders>
              <w:top w:val="single" w:sz="4" w:space="0" w:color="auto"/>
              <w:bottom w:val="single" w:sz="4" w:space="0" w:color="auto"/>
            </w:tcBorders>
            <w:vAlign w:val="bottom"/>
          </w:tcPr>
          <w:p w14:paraId="2E0017A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150</w:t>
            </w:r>
          </w:p>
        </w:tc>
        <w:tc>
          <w:tcPr>
            <w:tcW w:w="1843" w:type="dxa"/>
            <w:tcBorders>
              <w:top w:val="single" w:sz="4" w:space="0" w:color="auto"/>
              <w:bottom w:val="single" w:sz="4" w:space="0" w:color="auto"/>
            </w:tcBorders>
            <w:vAlign w:val="bottom"/>
          </w:tcPr>
          <w:p w14:paraId="549953B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81.4 (77.8-85.2)</w:t>
            </w:r>
          </w:p>
        </w:tc>
        <w:tc>
          <w:tcPr>
            <w:tcW w:w="1985" w:type="dxa"/>
            <w:tcBorders>
              <w:top w:val="single" w:sz="4" w:space="0" w:color="auto"/>
              <w:bottom w:val="single" w:sz="4" w:space="0" w:color="auto"/>
            </w:tcBorders>
            <w:vAlign w:val="bottom"/>
          </w:tcPr>
          <w:p w14:paraId="192E5839"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76.2 (72.3-80.2)</w:t>
            </w:r>
          </w:p>
        </w:tc>
        <w:tc>
          <w:tcPr>
            <w:tcW w:w="1842" w:type="dxa"/>
            <w:tcBorders>
              <w:top w:val="single" w:sz="4" w:space="0" w:color="auto"/>
              <w:bottom w:val="single" w:sz="4" w:space="0" w:color="auto"/>
            </w:tcBorders>
            <w:vAlign w:val="bottom"/>
          </w:tcPr>
          <w:p w14:paraId="21FB3F0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74.5 (70.4-78.9)</w:t>
            </w:r>
          </w:p>
        </w:tc>
        <w:tc>
          <w:tcPr>
            <w:tcW w:w="1843" w:type="dxa"/>
            <w:tcBorders>
              <w:top w:val="single" w:sz="4" w:space="0" w:color="auto"/>
              <w:bottom w:val="single" w:sz="4" w:space="0" w:color="auto"/>
            </w:tcBorders>
            <w:vAlign w:val="bottom"/>
          </w:tcPr>
          <w:p w14:paraId="3EADAB7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74.3 (70.1-78.7)</w:t>
            </w:r>
          </w:p>
        </w:tc>
        <w:tc>
          <w:tcPr>
            <w:tcW w:w="1843" w:type="dxa"/>
            <w:tcBorders>
              <w:top w:val="single" w:sz="4" w:space="0" w:color="auto"/>
              <w:bottom w:val="single" w:sz="4" w:space="0" w:color="auto"/>
            </w:tcBorders>
            <w:vAlign w:val="bottom"/>
          </w:tcPr>
          <w:p w14:paraId="279899E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74.2 (70.0-78.7)</w:t>
            </w:r>
          </w:p>
        </w:tc>
      </w:tr>
      <w:tr w:rsidR="0064507B" w:rsidRPr="00112DB6" w14:paraId="3BCAB133" w14:textId="77777777" w:rsidTr="009E51EE">
        <w:tc>
          <w:tcPr>
            <w:tcW w:w="3119" w:type="dxa"/>
            <w:tcBorders>
              <w:top w:val="single" w:sz="4" w:space="0" w:color="auto"/>
              <w:bottom w:val="single" w:sz="4" w:space="0" w:color="auto"/>
            </w:tcBorders>
            <w:vAlign w:val="bottom"/>
          </w:tcPr>
          <w:p w14:paraId="44BBB99C"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Abdominal wall</w:t>
            </w:r>
          </w:p>
        </w:tc>
        <w:tc>
          <w:tcPr>
            <w:tcW w:w="1276" w:type="dxa"/>
            <w:tcBorders>
              <w:top w:val="single" w:sz="4" w:space="0" w:color="auto"/>
              <w:bottom w:val="single" w:sz="4" w:space="0" w:color="auto"/>
            </w:tcBorders>
          </w:tcPr>
          <w:p w14:paraId="70CC7979"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6F5D150F"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0FDD543"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04EB4C14"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51D23B7C"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940E1F0"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9285828" w14:textId="77777777" w:rsidR="0064507B" w:rsidRPr="00112DB6" w:rsidRDefault="0064507B" w:rsidP="009E51EE">
            <w:pPr>
              <w:spacing w:before="0" w:after="0" w:line="360" w:lineRule="auto"/>
              <w:rPr>
                <w:rFonts w:cs="Times New Roman"/>
                <w:sz w:val="20"/>
                <w:szCs w:val="20"/>
                <w:lang w:val="en-US"/>
              </w:rPr>
            </w:pPr>
          </w:p>
        </w:tc>
      </w:tr>
      <w:tr w:rsidR="0064507B" w:rsidRPr="00112DB6" w14:paraId="6907354A" w14:textId="77777777" w:rsidTr="009E51EE">
        <w:tc>
          <w:tcPr>
            <w:tcW w:w="3119" w:type="dxa"/>
            <w:tcBorders>
              <w:top w:val="single" w:sz="4" w:space="0" w:color="auto"/>
              <w:bottom w:val="single" w:sz="4" w:space="0" w:color="auto"/>
            </w:tcBorders>
            <w:vAlign w:val="bottom"/>
          </w:tcPr>
          <w:p w14:paraId="69FCD3FB"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Gastroschisis</w:t>
            </w:r>
            <w:proofErr w:type="spellEnd"/>
          </w:p>
        </w:tc>
        <w:tc>
          <w:tcPr>
            <w:tcW w:w="1276" w:type="dxa"/>
            <w:tcBorders>
              <w:top w:val="single" w:sz="4" w:space="0" w:color="auto"/>
              <w:bottom w:val="single" w:sz="4" w:space="0" w:color="auto"/>
            </w:tcBorders>
            <w:vAlign w:val="bottom"/>
          </w:tcPr>
          <w:p w14:paraId="235D37F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945</w:t>
            </w:r>
          </w:p>
        </w:tc>
        <w:tc>
          <w:tcPr>
            <w:tcW w:w="1275" w:type="dxa"/>
            <w:tcBorders>
              <w:top w:val="single" w:sz="4" w:space="0" w:color="auto"/>
              <w:bottom w:val="single" w:sz="4" w:space="0" w:color="auto"/>
            </w:tcBorders>
            <w:vAlign w:val="bottom"/>
          </w:tcPr>
          <w:p w14:paraId="4A38311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31</w:t>
            </w:r>
          </w:p>
        </w:tc>
        <w:tc>
          <w:tcPr>
            <w:tcW w:w="1843" w:type="dxa"/>
            <w:tcBorders>
              <w:top w:val="single" w:sz="4" w:space="0" w:color="auto"/>
              <w:bottom w:val="single" w:sz="4" w:space="0" w:color="auto"/>
            </w:tcBorders>
            <w:vAlign w:val="bottom"/>
          </w:tcPr>
          <w:p w14:paraId="68C0ABC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(97.7-99.8)</w:t>
            </w:r>
          </w:p>
        </w:tc>
        <w:tc>
          <w:tcPr>
            <w:tcW w:w="1985" w:type="dxa"/>
            <w:tcBorders>
              <w:top w:val="single" w:sz="4" w:space="0" w:color="auto"/>
              <w:bottom w:val="single" w:sz="4" w:space="0" w:color="auto"/>
            </w:tcBorders>
            <w:vAlign w:val="bottom"/>
          </w:tcPr>
          <w:p w14:paraId="4289E7E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98.4 (97.1-99.7)</w:t>
            </w:r>
          </w:p>
        </w:tc>
        <w:tc>
          <w:tcPr>
            <w:tcW w:w="1842" w:type="dxa"/>
            <w:tcBorders>
              <w:top w:val="single" w:sz="4" w:space="0" w:color="auto"/>
              <w:bottom w:val="single" w:sz="4" w:space="0" w:color="auto"/>
            </w:tcBorders>
            <w:vAlign w:val="bottom"/>
          </w:tcPr>
          <w:p w14:paraId="3F91514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97.3 (95.6-99.0)</w:t>
            </w:r>
          </w:p>
        </w:tc>
        <w:tc>
          <w:tcPr>
            <w:tcW w:w="1843" w:type="dxa"/>
            <w:tcBorders>
              <w:top w:val="single" w:sz="4" w:space="0" w:color="auto"/>
              <w:bottom w:val="single" w:sz="4" w:space="0" w:color="auto"/>
            </w:tcBorders>
            <w:vAlign w:val="bottom"/>
          </w:tcPr>
          <w:p w14:paraId="44E7963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97.2 (95.5-98.9)</w:t>
            </w:r>
          </w:p>
        </w:tc>
        <w:tc>
          <w:tcPr>
            <w:tcW w:w="1843" w:type="dxa"/>
            <w:tcBorders>
              <w:top w:val="single" w:sz="4" w:space="0" w:color="auto"/>
              <w:bottom w:val="single" w:sz="4" w:space="0" w:color="auto"/>
            </w:tcBorders>
            <w:vAlign w:val="bottom"/>
          </w:tcPr>
          <w:p w14:paraId="03798C4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97.2 (95.5-98.9)</w:t>
            </w:r>
          </w:p>
        </w:tc>
      </w:tr>
      <w:tr w:rsidR="0064507B" w:rsidRPr="00112DB6" w14:paraId="0D453669" w14:textId="77777777" w:rsidTr="009E51EE">
        <w:tc>
          <w:tcPr>
            <w:tcW w:w="3119" w:type="dxa"/>
            <w:tcBorders>
              <w:top w:val="single" w:sz="4" w:space="0" w:color="auto"/>
              <w:bottom w:val="single" w:sz="4" w:space="0" w:color="auto"/>
            </w:tcBorders>
            <w:vAlign w:val="bottom"/>
          </w:tcPr>
          <w:p w14:paraId="54944C3F"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Omphalocele</w:t>
            </w:r>
            <w:proofErr w:type="spellEnd"/>
          </w:p>
        </w:tc>
        <w:tc>
          <w:tcPr>
            <w:tcW w:w="1276" w:type="dxa"/>
            <w:tcBorders>
              <w:top w:val="single" w:sz="4" w:space="0" w:color="auto"/>
              <w:bottom w:val="single" w:sz="4" w:space="0" w:color="auto"/>
            </w:tcBorders>
            <w:vAlign w:val="bottom"/>
          </w:tcPr>
          <w:p w14:paraId="583DEA1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274</w:t>
            </w:r>
          </w:p>
        </w:tc>
        <w:tc>
          <w:tcPr>
            <w:tcW w:w="1275" w:type="dxa"/>
            <w:tcBorders>
              <w:top w:val="single" w:sz="4" w:space="0" w:color="auto"/>
              <w:bottom w:val="single" w:sz="4" w:space="0" w:color="auto"/>
            </w:tcBorders>
            <w:vAlign w:val="bottom"/>
          </w:tcPr>
          <w:p w14:paraId="5A4A996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23</w:t>
            </w:r>
          </w:p>
        </w:tc>
        <w:tc>
          <w:tcPr>
            <w:tcW w:w="1843" w:type="dxa"/>
            <w:tcBorders>
              <w:top w:val="single" w:sz="4" w:space="0" w:color="auto"/>
              <w:bottom w:val="single" w:sz="4" w:space="0" w:color="auto"/>
            </w:tcBorders>
            <w:vAlign w:val="bottom"/>
          </w:tcPr>
          <w:p w14:paraId="7AECA3F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97.4 (95.0-99.9)</w:t>
            </w:r>
          </w:p>
        </w:tc>
        <w:tc>
          <w:tcPr>
            <w:tcW w:w="1985" w:type="dxa"/>
            <w:tcBorders>
              <w:top w:val="single" w:sz="4" w:space="0" w:color="auto"/>
              <w:bottom w:val="single" w:sz="4" w:space="0" w:color="auto"/>
            </w:tcBorders>
            <w:vAlign w:val="bottom"/>
          </w:tcPr>
          <w:p w14:paraId="635C265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95.8 (93.1-98.4)</w:t>
            </w:r>
          </w:p>
        </w:tc>
        <w:tc>
          <w:tcPr>
            <w:tcW w:w="1842" w:type="dxa"/>
            <w:tcBorders>
              <w:top w:val="single" w:sz="4" w:space="0" w:color="auto"/>
              <w:bottom w:val="single" w:sz="4" w:space="0" w:color="auto"/>
            </w:tcBorders>
            <w:vAlign w:val="bottom"/>
          </w:tcPr>
          <w:p w14:paraId="61385E3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93.1 (89.6-96.6)</w:t>
            </w:r>
          </w:p>
        </w:tc>
        <w:tc>
          <w:tcPr>
            <w:tcW w:w="1843" w:type="dxa"/>
            <w:tcBorders>
              <w:top w:val="single" w:sz="4" w:space="0" w:color="auto"/>
              <w:bottom w:val="single" w:sz="4" w:space="0" w:color="auto"/>
            </w:tcBorders>
            <w:vAlign w:val="bottom"/>
          </w:tcPr>
          <w:p w14:paraId="4A83C9D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92.7 (89.1-96.4)</w:t>
            </w:r>
          </w:p>
        </w:tc>
        <w:tc>
          <w:tcPr>
            <w:tcW w:w="1843" w:type="dxa"/>
            <w:tcBorders>
              <w:top w:val="single" w:sz="4" w:space="0" w:color="auto"/>
              <w:bottom w:val="single" w:sz="4" w:space="0" w:color="auto"/>
            </w:tcBorders>
            <w:vAlign w:val="bottom"/>
          </w:tcPr>
          <w:p w14:paraId="3CE3E14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92.7 (89.1-96.4)</w:t>
            </w:r>
          </w:p>
        </w:tc>
      </w:tr>
      <w:tr w:rsidR="0064507B" w:rsidRPr="00112DB6" w14:paraId="3FA6E1E1" w14:textId="77777777" w:rsidTr="009E51EE">
        <w:tc>
          <w:tcPr>
            <w:tcW w:w="3119" w:type="dxa"/>
            <w:tcBorders>
              <w:top w:val="single" w:sz="4" w:space="0" w:color="auto"/>
              <w:bottom w:val="single" w:sz="4" w:space="0" w:color="auto"/>
            </w:tcBorders>
            <w:vAlign w:val="bottom"/>
          </w:tcPr>
          <w:p w14:paraId="33450BAC"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Urinary system</w:t>
            </w:r>
          </w:p>
        </w:tc>
        <w:tc>
          <w:tcPr>
            <w:tcW w:w="1276" w:type="dxa"/>
            <w:tcBorders>
              <w:top w:val="single" w:sz="4" w:space="0" w:color="auto"/>
              <w:bottom w:val="single" w:sz="4" w:space="0" w:color="auto"/>
            </w:tcBorders>
          </w:tcPr>
          <w:p w14:paraId="7ADDA1CB"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2394E08F"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21779283"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033C66CA"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3F3FF387"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36E58F7"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B57BAD3" w14:textId="77777777" w:rsidR="0064507B" w:rsidRPr="00112DB6" w:rsidRDefault="0064507B" w:rsidP="009E51EE">
            <w:pPr>
              <w:spacing w:before="0" w:after="0" w:line="360" w:lineRule="auto"/>
              <w:rPr>
                <w:rFonts w:cs="Times New Roman"/>
                <w:sz w:val="20"/>
                <w:szCs w:val="20"/>
                <w:lang w:val="en-US"/>
              </w:rPr>
            </w:pPr>
          </w:p>
        </w:tc>
      </w:tr>
      <w:tr w:rsidR="0064507B" w:rsidRPr="00112DB6" w14:paraId="322A8891" w14:textId="77777777" w:rsidTr="009E51EE">
        <w:tc>
          <w:tcPr>
            <w:tcW w:w="3119" w:type="dxa"/>
            <w:tcBorders>
              <w:top w:val="single" w:sz="4" w:space="0" w:color="auto"/>
              <w:bottom w:val="single" w:sz="4" w:space="0" w:color="auto"/>
            </w:tcBorders>
            <w:vAlign w:val="bottom"/>
          </w:tcPr>
          <w:p w14:paraId="00345B8B"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Multicystic</w:t>
            </w:r>
            <w:proofErr w:type="spellEnd"/>
            <w:r w:rsidRPr="00112DB6">
              <w:rPr>
                <w:rFonts w:cs="Times New Roman"/>
                <w:sz w:val="20"/>
                <w:szCs w:val="20"/>
                <w:lang w:val="en-US"/>
              </w:rPr>
              <w:t xml:space="preserve"> renal dysplasia</w:t>
            </w:r>
          </w:p>
        </w:tc>
        <w:tc>
          <w:tcPr>
            <w:tcW w:w="1276" w:type="dxa"/>
            <w:tcBorders>
              <w:top w:val="single" w:sz="4" w:space="0" w:color="auto"/>
              <w:bottom w:val="single" w:sz="4" w:space="0" w:color="auto"/>
            </w:tcBorders>
            <w:vAlign w:val="bottom"/>
          </w:tcPr>
          <w:p w14:paraId="73A89F1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1070</w:t>
            </w:r>
          </w:p>
        </w:tc>
        <w:tc>
          <w:tcPr>
            <w:tcW w:w="1275" w:type="dxa"/>
            <w:tcBorders>
              <w:top w:val="single" w:sz="4" w:space="0" w:color="auto"/>
              <w:bottom w:val="single" w:sz="4" w:space="0" w:color="auto"/>
            </w:tcBorders>
            <w:vAlign w:val="bottom"/>
          </w:tcPr>
          <w:p w14:paraId="26EB122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29</w:t>
            </w:r>
          </w:p>
        </w:tc>
        <w:tc>
          <w:tcPr>
            <w:tcW w:w="1843" w:type="dxa"/>
            <w:tcBorders>
              <w:top w:val="single" w:sz="4" w:space="0" w:color="auto"/>
              <w:bottom w:val="single" w:sz="4" w:space="0" w:color="auto"/>
            </w:tcBorders>
            <w:vAlign w:val="bottom"/>
          </w:tcPr>
          <w:p w14:paraId="2324A5F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98.0 (96.7-99.2)</w:t>
            </w:r>
          </w:p>
        </w:tc>
        <w:tc>
          <w:tcPr>
            <w:tcW w:w="1985" w:type="dxa"/>
            <w:tcBorders>
              <w:top w:val="single" w:sz="4" w:space="0" w:color="auto"/>
              <w:bottom w:val="single" w:sz="4" w:space="0" w:color="auto"/>
            </w:tcBorders>
            <w:vAlign w:val="bottom"/>
          </w:tcPr>
          <w:p w14:paraId="4FFF738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97.8 (96.6-99.1)</w:t>
            </w:r>
          </w:p>
        </w:tc>
        <w:tc>
          <w:tcPr>
            <w:tcW w:w="1842" w:type="dxa"/>
            <w:tcBorders>
              <w:top w:val="single" w:sz="4" w:space="0" w:color="auto"/>
              <w:bottom w:val="single" w:sz="4" w:space="0" w:color="auto"/>
            </w:tcBorders>
            <w:vAlign w:val="bottom"/>
          </w:tcPr>
          <w:p w14:paraId="160005D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97.7 (96.4-99.0)</w:t>
            </w:r>
          </w:p>
        </w:tc>
        <w:tc>
          <w:tcPr>
            <w:tcW w:w="1843" w:type="dxa"/>
            <w:tcBorders>
              <w:top w:val="single" w:sz="4" w:space="0" w:color="auto"/>
              <w:bottom w:val="single" w:sz="4" w:space="0" w:color="auto"/>
            </w:tcBorders>
            <w:vAlign w:val="bottom"/>
          </w:tcPr>
          <w:p w14:paraId="19ECF65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97.6 (96.3-99.0)</w:t>
            </w:r>
          </w:p>
        </w:tc>
        <w:tc>
          <w:tcPr>
            <w:tcW w:w="1843" w:type="dxa"/>
            <w:tcBorders>
              <w:top w:val="single" w:sz="4" w:space="0" w:color="auto"/>
              <w:bottom w:val="single" w:sz="4" w:space="0" w:color="auto"/>
            </w:tcBorders>
            <w:vAlign w:val="bottom"/>
          </w:tcPr>
          <w:p w14:paraId="32B3AE1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97.6 (96.3-99.0)</w:t>
            </w:r>
          </w:p>
        </w:tc>
      </w:tr>
      <w:tr w:rsidR="0064507B" w:rsidRPr="00112DB6" w14:paraId="35208B72" w14:textId="77777777" w:rsidTr="009E51EE">
        <w:tc>
          <w:tcPr>
            <w:tcW w:w="3119" w:type="dxa"/>
            <w:tcBorders>
              <w:top w:val="single" w:sz="4" w:space="0" w:color="auto"/>
              <w:bottom w:val="single" w:sz="4" w:space="0" w:color="auto"/>
            </w:tcBorders>
            <w:vAlign w:val="bottom"/>
          </w:tcPr>
          <w:p w14:paraId="24C5DED8"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 xml:space="preserve">Congenital </w:t>
            </w:r>
            <w:proofErr w:type="spellStart"/>
            <w:r w:rsidRPr="00112DB6">
              <w:rPr>
                <w:rFonts w:cs="Times New Roman"/>
                <w:sz w:val="20"/>
                <w:szCs w:val="20"/>
                <w:lang w:val="en-US"/>
              </w:rPr>
              <w:t>hydronephrosis</w:t>
            </w:r>
            <w:proofErr w:type="spellEnd"/>
          </w:p>
        </w:tc>
        <w:tc>
          <w:tcPr>
            <w:tcW w:w="1276" w:type="dxa"/>
            <w:tcBorders>
              <w:top w:val="single" w:sz="4" w:space="0" w:color="auto"/>
              <w:bottom w:val="single" w:sz="4" w:space="0" w:color="auto"/>
            </w:tcBorders>
            <w:vAlign w:val="bottom"/>
          </w:tcPr>
          <w:p w14:paraId="5602D8D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4812</w:t>
            </w:r>
          </w:p>
        </w:tc>
        <w:tc>
          <w:tcPr>
            <w:tcW w:w="1275" w:type="dxa"/>
            <w:tcBorders>
              <w:top w:val="single" w:sz="4" w:space="0" w:color="auto"/>
              <w:bottom w:val="single" w:sz="4" w:space="0" w:color="auto"/>
            </w:tcBorders>
            <w:vAlign w:val="bottom"/>
          </w:tcPr>
          <w:p w14:paraId="464577D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29</w:t>
            </w:r>
          </w:p>
        </w:tc>
        <w:tc>
          <w:tcPr>
            <w:tcW w:w="1843" w:type="dxa"/>
            <w:tcBorders>
              <w:top w:val="single" w:sz="4" w:space="0" w:color="auto"/>
              <w:bottom w:val="single" w:sz="4" w:space="0" w:color="auto"/>
            </w:tcBorders>
            <w:vAlign w:val="bottom"/>
          </w:tcPr>
          <w:p w14:paraId="721239E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(99.8-100.0)</w:t>
            </w:r>
          </w:p>
        </w:tc>
        <w:tc>
          <w:tcPr>
            <w:tcW w:w="1985" w:type="dxa"/>
            <w:tcBorders>
              <w:top w:val="single" w:sz="4" w:space="0" w:color="auto"/>
              <w:bottom w:val="single" w:sz="4" w:space="0" w:color="auto"/>
            </w:tcBorders>
            <w:vAlign w:val="bottom"/>
          </w:tcPr>
          <w:p w14:paraId="40436C5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(99.8-100.0)</w:t>
            </w:r>
          </w:p>
        </w:tc>
        <w:tc>
          <w:tcPr>
            <w:tcW w:w="1842" w:type="dxa"/>
            <w:tcBorders>
              <w:top w:val="single" w:sz="4" w:space="0" w:color="auto"/>
              <w:bottom w:val="single" w:sz="4" w:space="0" w:color="auto"/>
            </w:tcBorders>
            <w:vAlign w:val="bottom"/>
          </w:tcPr>
          <w:p w14:paraId="75A02C5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(99.6-100.0)</w:t>
            </w:r>
          </w:p>
        </w:tc>
        <w:tc>
          <w:tcPr>
            <w:tcW w:w="1843" w:type="dxa"/>
            <w:tcBorders>
              <w:top w:val="single" w:sz="4" w:space="0" w:color="auto"/>
              <w:bottom w:val="single" w:sz="4" w:space="0" w:color="auto"/>
            </w:tcBorders>
            <w:vAlign w:val="bottom"/>
          </w:tcPr>
          <w:p w14:paraId="1CD193D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99.7 (99.5-99.9)</w:t>
            </w:r>
          </w:p>
        </w:tc>
        <w:tc>
          <w:tcPr>
            <w:tcW w:w="1843" w:type="dxa"/>
            <w:tcBorders>
              <w:top w:val="single" w:sz="4" w:space="0" w:color="auto"/>
              <w:bottom w:val="single" w:sz="4" w:space="0" w:color="auto"/>
            </w:tcBorders>
            <w:vAlign w:val="bottom"/>
          </w:tcPr>
          <w:p w14:paraId="2F218CBA"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99.7 (99.5-99.9)</w:t>
            </w:r>
          </w:p>
        </w:tc>
      </w:tr>
      <w:tr w:rsidR="0064507B" w:rsidRPr="00112DB6" w14:paraId="31CF65B8" w14:textId="77777777" w:rsidTr="009E51EE">
        <w:tc>
          <w:tcPr>
            <w:tcW w:w="3119" w:type="dxa"/>
            <w:tcBorders>
              <w:top w:val="single" w:sz="4" w:space="0" w:color="auto"/>
              <w:bottom w:val="single" w:sz="4" w:space="0" w:color="auto"/>
            </w:tcBorders>
            <w:vAlign w:val="bottom"/>
          </w:tcPr>
          <w:p w14:paraId="3C926004"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lastRenderedPageBreak/>
              <w:t>Genital</w:t>
            </w:r>
          </w:p>
        </w:tc>
        <w:tc>
          <w:tcPr>
            <w:tcW w:w="1276" w:type="dxa"/>
            <w:tcBorders>
              <w:top w:val="single" w:sz="4" w:space="0" w:color="auto"/>
              <w:bottom w:val="single" w:sz="4" w:space="0" w:color="auto"/>
            </w:tcBorders>
          </w:tcPr>
          <w:p w14:paraId="567A5DDB"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2F6F83AF"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41BA458"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137CA0A8"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2F2C1AF5"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4A12FF3F"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55D6F059" w14:textId="77777777" w:rsidR="0064507B" w:rsidRPr="00112DB6" w:rsidRDefault="0064507B" w:rsidP="009E51EE">
            <w:pPr>
              <w:spacing w:before="0" w:after="0" w:line="360" w:lineRule="auto"/>
              <w:rPr>
                <w:rFonts w:cs="Times New Roman"/>
                <w:sz w:val="20"/>
                <w:szCs w:val="20"/>
                <w:lang w:val="en-US"/>
              </w:rPr>
            </w:pPr>
          </w:p>
        </w:tc>
      </w:tr>
      <w:tr w:rsidR="0064507B" w:rsidRPr="00112DB6" w14:paraId="08FC4580" w14:textId="77777777" w:rsidTr="009E51EE">
        <w:tc>
          <w:tcPr>
            <w:tcW w:w="3119" w:type="dxa"/>
            <w:tcBorders>
              <w:top w:val="single" w:sz="4" w:space="0" w:color="auto"/>
              <w:bottom w:val="single" w:sz="4" w:space="0" w:color="auto"/>
            </w:tcBorders>
            <w:vAlign w:val="bottom"/>
          </w:tcPr>
          <w:p w14:paraId="7C7E0015"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Hypospadias</w:t>
            </w:r>
          </w:p>
        </w:tc>
        <w:tc>
          <w:tcPr>
            <w:tcW w:w="1276" w:type="dxa"/>
            <w:tcBorders>
              <w:top w:val="single" w:sz="4" w:space="0" w:color="auto"/>
              <w:bottom w:val="single" w:sz="4" w:space="0" w:color="auto"/>
            </w:tcBorders>
            <w:vAlign w:val="bottom"/>
          </w:tcPr>
          <w:p w14:paraId="08D6275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5586</w:t>
            </w:r>
          </w:p>
        </w:tc>
        <w:tc>
          <w:tcPr>
            <w:tcW w:w="1275" w:type="dxa"/>
            <w:tcBorders>
              <w:top w:val="single" w:sz="4" w:space="0" w:color="auto"/>
              <w:bottom w:val="single" w:sz="4" w:space="0" w:color="auto"/>
            </w:tcBorders>
            <w:vAlign w:val="bottom"/>
          </w:tcPr>
          <w:p w14:paraId="1AAFAB8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27</w:t>
            </w:r>
          </w:p>
        </w:tc>
        <w:tc>
          <w:tcPr>
            <w:tcW w:w="1843" w:type="dxa"/>
            <w:tcBorders>
              <w:top w:val="single" w:sz="4" w:space="0" w:color="auto"/>
              <w:bottom w:val="single" w:sz="4" w:space="0" w:color="auto"/>
            </w:tcBorders>
            <w:vAlign w:val="bottom"/>
          </w:tcPr>
          <w:p w14:paraId="6054A7C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(99.9-100.0)</w:t>
            </w:r>
          </w:p>
        </w:tc>
        <w:tc>
          <w:tcPr>
            <w:tcW w:w="1985" w:type="dxa"/>
            <w:tcBorders>
              <w:top w:val="single" w:sz="4" w:space="0" w:color="auto"/>
              <w:bottom w:val="single" w:sz="4" w:space="0" w:color="auto"/>
            </w:tcBorders>
            <w:vAlign w:val="bottom"/>
          </w:tcPr>
          <w:p w14:paraId="2AB60EB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99.9 (99.8-100.0)</w:t>
            </w:r>
          </w:p>
        </w:tc>
        <w:tc>
          <w:tcPr>
            <w:tcW w:w="1842" w:type="dxa"/>
            <w:tcBorders>
              <w:top w:val="single" w:sz="4" w:space="0" w:color="auto"/>
              <w:bottom w:val="single" w:sz="4" w:space="0" w:color="auto"/>
            </w:tcBorders>
            <w:vAlign w:val="bottom"/>
          </w:tcPr>
          <w:p w14:paraId="255F082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(99.7-99.9)</w:t>
            </w:r>
          </w:p>
        </w:tc>
        <w:tc>
          <w:tcPr>
            <w:tcW w:w="1843" w:type="dxa"/>
            <w:tcBorders>
              <w:top w:val="single" w:sz="4" w:space="0" w:color="auto"/>
              <w:bottom w:val="single" w:sz="4" w:space="0" w:color="auto"/>
            </w:tcBorders>
            <w:vAlign w:val="bottom"/>
          </w:tcPr>
          <w:p w14:paraId="49C978B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(99.6-99.9)</w:t>
            </w:r>
          </w:p>
        </w:tc>
        <w:tc>
          <w:tcPr>
            <w:tcW w:w="1843" w:type="dxa"/>
            <w:tcBorders>
              <w:top w:val="single" w:sz="4" w:space="0" w:color="auto"/>
              <w:bottom w:val="single" w:sz="4" w:space="0" w:color="auto"/>
            </w:tcBorders>
            <w:vAlign w:val="bottom"/>
          </w:tcPr>
          <w:p w14:paraId="5128100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(99.6-99.9)</w:t>
            </w:r>
          </w:p>
        </w:tc>
      </w:tr>
      <w:tr w:rsidR="0064507B" w:rsidRPr="00112DB6" w14:paraId="11BAAC61" w14:textId="77777777" w:rsidTr="009E51EE">
        <w:tc>
          <w:tcPr>
            <w:tcW w:w="3119" w:type="dxa"/>
            <w:tcBorders>
              <w:top w:val="single" w:sz="4" w:space="0" w:color="auto"/>
              <w:bottom w:val="single" w:sz="4" w:space="0" w:color="auto"/>
            </w:tcBorders>
            <w:vAlign w:val="bottom"/>
          </w:tcPr>
          <w:p w14:paraId="5102E843" w14:textId="77777777" w:rsidR="0064507B" w:rsidRPr="00112DB6" w:rsidRDefault="0064507B" w:rsidP="009E51EE">
            <w:pPr>
              <w:spacing w:before="0" w:after="0" w:line="360" w:lineRule="auto"/>
              <w:rPr>
                <w:rFonts w:cs="Times New Roman"/>
                <w:i/>
                <w:iCs/>
                <w:sz w:val="20"/>
                <w:szCs w:val="20"/>
                <w:lang w:val="en-US"/>
              </w:rPr>
            </w:pPr>
            <w:r w:rsidRPr="00112DB6">
              <w:rPr>
                <w:rFonts w:cs="Times New Roman"/>
                <w:i/>
                <w:iCs/>
                <w:sz w:val="20"/>
                <w:szCs w:val="20"/>
                <w:lang w:val="en-US"/>
              </w:rPr>
              <w:t>Limb</w:t>
            </w:r>
          </w:p>
        </w:tc>
        <w:tc>
          <w:tcPr>
            <w:tcW w:w="1276" w:type="dxa"/>
            <w:tcBorders>
              <w:top w:val="single" w:sz="4" w:space="0" w:color="auto"/>
              <w:bottom w:val="single" w:sz="4" w:space="0" w:color="auto"/>
            </w:tcBorders>
          </w:tcPr>
          <w:p w14:paraId="779524FC"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2FB8BECD"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5D7C7DA3"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0BECB4C7"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12DFF29D"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346B2CFB"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EA958A7" w14:textId="77777777" w:rsidR="0064507B" w:rsidRPr="00112DB6" w:rsidRDefault="0064507B" w:rsidP="009E51EE">
            <w:pPr>
              <w:spacing w:before="0" w:after="0" w:line="360" w:lineRule="auto"/>
              <w:rPr>
                <w:rFonts w:cs="Times New Roman"/>
                <w:sz w:val="20"/>
                <w:szCs w:val="20"/>
                <w:lang w:val="en-US"/>
              </w:rPr>
            </w:pPr>
          </w:p>
        </w:tc>
      </w:tr>
      <w:tr w:rsidR="0064507B" w:rsidRPr="00112DB6" w14:paraId="6747C822" w14:textId="77777777" w:rsidTr="009E51EE">
        <w:tc>
          <w:tcPr>
            <w:tcW w:w="3119" w:type="dxa"/>
            <w:tcBorders>
              <w:top w:val="single" w:sz="4" w:space="0" w:color="auto"/>
              <w:bottom w:val="single" w:sz="4" w:space="0" w:color="auto"/>
            </w:tcBorders>
            <w:vAlign w:val="bottom"/>
          </w:tcPr>
          <w:p w14:paraId="4173B112"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Limb reduction defects</w:t>
            </w:r>
          </w:p>
        </w:tc>
        <w:tc>
          <w:tcPr>
            <w:tcW w:w="1276" w:type="dxa"/>
            <w:tcBorders>
              <w:top w:val="single" w:sz="4" w:space="0" w:color="auto"/>
              <w:bottom w:val="single" w:sz="4" w:space="0" w:color="auto"/>
            </w:tcBorders>
            <w:vAlign w:val="bottom"/>
          </w:tcPr>
          <w:p w14:paraId="0E5CE35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862</w:t>
            </w:r>
          </w:p>
        </w:tc>
        <w:tc>
          <w:tcPr>
            <w:tcW w:w="1275" w:type="dxa"/>
            <w:tcBorders>
              <w:top w:val="single" w:sz="4" w:space="0" w:color="auto"/>
              <w:bottom w:val="single" w:sz="4" w:space="0" w:color="auto"/>
            </w:tcBorders>
            <w:vAlign w:val="bottom"/>
          </w:tcPr>
          <w:p w14:paraId="1C8A7EB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11</w:t>
            </w:r>
          </w:p>
        </w:tc>
        <w:tc>
          <w:tcPr>
            <w:tcW w:w="1843" w:type="dxa"/>
            <w:tcBorders>
              <w:top w:val="single" w:sz="4" w:space="0" w:color="auto"/>
              <w:bottom w:val="single" w:sz="4" w:space="0" w:color="auto"/>
            </w:tcBorders>
            <w:vAlign w:val="bottom"/>
          </w:tcPr>
          <w:p w14:paraId="082BDA7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(99.2-100.0)</w:t>
            </w:r>
          </w:p>
        </w:tc>
        <w:tc>
          <w:tcPr>
            <w:tcW w:w="1985" w:type="dxa"/>
            <w:tcBorders>
              <w:top w:val="single" w:sz="4" w:space="0" w:color="auto"/>
              <w:bottom w:val="single" w:sz="4" w:space="0" w:color="auto"/>
            </w:tcBorders>
            <w:vAlign w:val="bottom"/>
          </w:tcPr>
          <w:p w14:paraId="1569ED77"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99.5 (99.0-100.0)</w:t>
            </w:r>
          </w:p>
        </w:tc>
        <w:tc>
          <w:tcPr>
            <w:tcW w:w="1842" w:type="dxa"/>
            <w:tcBorders>
              <w:top w:val="single" w:sz="4" w:space="0" w:color="auto"/>
              <w:bottom w:val="single" w:sz="4" w:space="0" w:color="auto"/>
            </w:tcBorders>
            <w:vAlign w:val="bottom"/>
          </w:tcPr>
          <w:p w14:paraId="1BC7B1F8"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99.4 (98.8-99.9)</w:t>
            </w:r>
          </w:p>
        </w:tc>
        <w:tc>
          <w:tcPr>
            <w:tcW w:w="1843" w:type="dxa"/>
            <w:tcBorders>
              <w:top w:val="single" w:sz="4" w:space="0" w:color="auto"/>
              <w:bottom w:val="single" w:sz="4" w:space="0" w:color="auto"/>
            </w:tcBorders>
            <w:vAlign w:val="bottom"/>
          </w:tcPr>
          <w:p w14:paraId="5703325C"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(98.7-99.8)</w:t>
            </w:r>
          </w:p>
        </w:tc>
        <w:tc>
          <w:tcPr>
            <w:tcW w:w="1843" w:type="dxa"/>
            <w:tcBorders>
              <w:top w:val="single" w:sz="4" w:space="0" w:color="auto"/>
              <w:bottom w:val="single" w:sz="4" w:space="0" w:color="auto"/>
            </w:tcBorders>
            <w:vAlign w:val="bottom"/>
          </w:tcPr>
          <w:p w14:paraId="30AFE74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99.2 (98.6-99.8)</w:t>
            </w:r>
          </w:p>
        </w:tc>
      </w:tr>
      <w:tr w:rsidR="0064507B" w:rsidRPr="00112DB6" w14:paraId="2CC33F43" w14:textId="77777777" w:rsidTr="009E51EE">
        <w:tc>
          <w:tcPr>
            <w:tcW w:w="3119" w:type="dxa"/>
            <w:tcBorders>
              <w:top w:val="single" w:sz="4" w:space="0" w:color="auto"/>
              <w:bottom w:val="single" w:sz="4" w:space="0" w:color="auto"/>
            </w:tcBorders>
            <w:vAlign w:val="bottom"/>
          </w:tcPr>
          <w:p w14:paraId="47D5B58A"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Musculoskeletal</w:t>
            </w:r>
          </w:p>
        </w:tc>
        <w:tc>
          <w:tcPr>
            <w:tcW w:w="1276" w:type="dxa"/>
            <w:tcBorders>
              <w:top w:val="single" w:sz="4" w:space="0" w:color="auto"/>
              <w:bottom w:val="single" w:sz="4" w:space="0" w:color="auto"/>
            </w:tcBorders>
          </w:tcPr>
          <w:p w14:paraId="6CA24C44"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2954C471"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3400E0B8"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20B9B921"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0FFFE901"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679A7FD0"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2D262E19" w14:textId="77777777" w:rsidR="0064507B" w:rsidRPr="00112DB6" w:rsidRDefault="0064507B" w:rsidP="009E51EE">
            <w:pPr>
              <w:spacing w:before="0" w:after="0" w:line="360" w:lineRule="auto"/>
              <w:rPr>
                <w:rFonts w:cs="Times New Roman"/>
                <w:sz w:val="20"/>
                <w:szCs w:val="20"/>
                <w:lang w:val="en-US"/>
              </w:rPr>
            </w:pPr>
          </w:p>
        </w:tc>
      </w:tr>
      <w:tr w:rsidR="0064507B" w:rsidRPr="00112DB6" w14:paraId="5B0A0E8C" w14:textId="77777777" w:rsidTr="009E51EE">
        <w:tc>
          <w:tcPr>
            <w:tcW w:w="3119" w:type="dxa"/>
            <w:tcBorders>
              <w:top w:val="single" w:sz="4" w:space="0" w:color="auto"/>
              <w:bottom w:val="single" w:sz="4" w:space="0" w:color="auto"/>
            </w:tcBorders>
            <w:vAlign w:val="bottom"/>
          </w:tcPr>
          <w:p w14:paraId="595EC06F"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Craniosynostosis</w:t>
            </w:r>
            <w:proofErr w:type="spellEnd"/>
          </w:p>
        </w:tc>
        <w:tc>
          <w:tcPr>
            <w:tcW w:w="1276" w:type="dxa"/>
            <w:tcBorders>
              <w:top w:val="single" w:sz="4" w:space="0" w:color="auto"/>
              <w:bottom w:val="single" w:sz="4" w:space="0" w:color="auto"/>
            </w:tcBorders>
            <w:vAlign w:val="bottom"/>
          </w:tcPr>
          <w:p w14:paraId="23094D0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909</w:t>
            </w:r>
          </w:p>
        </w:tc>
        <w:tc>
          <w:tcPr>
            <w:tcW w:w="1275" w:type="dxa"/>
            <w:tcBorders>
              <w:top w:val="single" w:sz="4" w:space="0" w:color="auto"/>
              <w:bottom w:val="single" w:sz="4" w:space="0" w:color="auto"/>
            </w:tcBorders>
            <w:vAlign w:val="bottom"/>
          </w:tcPr>
          <w:p w14:paraId="36DCABD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w:t>
            </w:r>
          </w:p>
        </w:tc>
        <w:tc>
          <w:tcPr>
            <w:tcW w:w="1843" w:type="dxa"/>
            <w:tcBorders>
              <w:top w:val="single" w:sz="4" w:space="0" w:color="auto"/>
              <w:bottom w:val="single" w:sz="4" w:space="0" w:color="auto"/>
            </w:tcBorders>
            <w:vAlign w:val="bottom"/>
          </w:tcPr>
          <w:p w14:paraId="4AB8DD4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100.0 (99.9-100.0)</w:t>
            </w:r>
          </w:p>
        </w:tc>
        <w:tc>
          <w:tcPr>
            <w:tcW w:w="1985" w:type="dxa"/>
            <w:tcBorders>
              <w:top w:val="single" w:sz="4" w:space="0" w:color="auto"/>
              <w:bottom w:val="single" w:sz="4" w:space="0" w:color="auto"/>
            </w:tcBorders>
            <w:vAlign w:val="bottom"/>
          </w:tcPr>
          <w:p w14:paraId="310CB60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100.0 (99.8-100.0)</w:t>
            </w:r>
          </w:p>
        </w:tc>
        <w:tc>
          <w:tcPr>
            <w:tcW w:w="1842" w:type="dxa"/>
            <w:tcBorders>
              <w:top w:val="single" w:sz="4" w:space="0" w:color="auto"/>
              <w:bottom w:val="single" w:sz="4" w:space="0" w:color="auto"/>
            </w:tcBorders>
            <w:vAlign w:val="bottom"/>
          </w:tcPr>
          <w:p w14:paraId="4FB09D0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(99.3-100.0)</w:t>
            </w:r>
          </w:p>
        </w:tc>
        <w:tc>
          <w:tcPr>
            <w:tcW w:w="1843" w:type="dxa"/>
            <w:tcBorders>
              <w:top w:val="single" w:sz="4" w:space="0" w:color="auto"/>
              <w:bottom w:val="single" w:sz="4" w:space="0" w:color="auto"/>
            </w:tcBorders>
            <w:vAlign w:val="bottom"/>
          </w:tcPr>
          <w:p w14:paraId="45844DD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(99.2-100.0)</w:t>
            </w:r>
          </w:p>
        </w:tc>
        <w:tc>
          <w:tcPr>
            <w:tcW w:w="1843" w:type="dxa"/>
            <w:tcBorders>
              <w:top w:val="single" w:sz="4" w:space="0" w:color="auto"/>
              <w:bottom w:val="single" w:sz="4" w:space="0" w:color="auto"/>
            </w:tcBorders>
            <w:vAlign w:val="bottom"/>
          </w:tcPr>
          <w:p w14:paraId="7FAAEB19"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(99.2-100.0)</w:t>
            </w:r>
          </w:p>
        </w:tc>
      </w:tr>
      <w:tr w:rsidR="0064507B" w:rsidRPr="00112DB6" w14:paraId="16FCB74A" w14:textId="77777777" w:rsidTr="006866F8">
        <w:trPr>
          <w:trHeight w:val="199"/>
        </w:trPr>
        <w:tc>
          <w:tcPr>
            <w:tcW w:w="3119" w:type="dxa"/>
            <w:tcBorders>
              <w:top w:val="single" w:sz="4" w:space="0" w:color="auto"/>
              <w:bottom w:val="single" w:sz="4" w:space="0" w:color="auto"/>
            </w:tcBorders>
            <w:vAlign w:val="bottom"/>
          </w:tcPr>
          <w:p w14:paraId="2BDD036D" w14:textId="77777777" w:rsidR="0064507B" w:rsidRPr="00112DB6" w:rsidRDefault="0064507B" w:rsidP="006866F8">
            <w:pPr>
              <w:spacing w:before="0" w:after="0" w:line="240" w:lineRule="auto"/>
              <w:ind w:left="170"/>
              <w:rPr>
                <w:rFonts w:cs="Times New Roman"/>
                <w:sz w:val="20"/>
                <w:szCs w:val="20"/>
                <w:lang w:val="en-US"/>
              </w:rPr>
            </w:pPr>
          </w:p>
        </w:tc>
        <w:tc>
          <w:tcPr>
            <w:tcW w:w="1276" w:type="dxa"/>
            <w:tcBorders>
              <w:top w:val="single" w:sz="4" w:space="0" w:color="auto"/>
              <w:bottom w:val="single" w:sz="4" w:space="0" w:color="auto"/>
            </w:tcBorders>
            <w:vAlign w:val="bottom"/>
          </w:tcPr>
          <w:p w14:paraId="58D93C05" w14:textId="77777777" w:rsidR="0064507B" w:rsidRPr="00112DB6" w:rsidRDefault="0064507B" w:rsidP="006866F8">
            <w:pPr>
              <w:spacing w:before="0" w:after="0" w:line="240" w:lineRule="auto"/>
              <w:jc w:val="center"/>
              <w:rPr>
                <w:rFonts w:cs="Times New Roman"/>
                <w:sz w:val="20"/>
                <w:szCs w:val="20"/>
                <w:lang w:val="en-US"/>
              </w:rPr>
            </w:pPr>
          </w:p>
        </w:tc>
        <w:tc>
          <w:tcPr>
            <w:tcW w:w="1275" w:type="dxa"/>
            <w:tcBorders>
              <w:top w:val="single" w:sz="4" w:space="0" w:color="auto"/>
              <w:bottom w:val="single" w:sz="4" w:space="0" w:color="auto"/>
            </w:tcBorders>
            <w:vAlign w:val="bottom"/>
          </w:tcPr>
          <w:p w14:paraId="20E07A56" w14:textId="77777777" w:rsidR="0064507B" w:rsidRPr="00112DB6" w:rsidRDefault="0064507B" w:rsidP="006866F8">
            <w:pPr>
              <w:spacing w:before="0" w:after="0" w:line="24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5EC20C02" w14:textId="77777777" w:rsidR="0064507B" w:rsidRPr="00112DB6" w:rsidRDefault="0064507B" w:rsidP="006866F8">
            <w:pPr>
              <w:spacing w:before="0" w:after="0" w:line="240" w:lineRule="auto"/>
              <w:rPr>
                <w:rFonts w:cs="Times New Roman"/>
                <w:sz w:val="20"/>
                <w:szCs w:val="20"/>
                <w:lang w:val="en-US"/>
              </w:rPr>
            </w:pPr>
          </w:p>
        </w:tc>
        <w:tc>
          <w:tcPr>
            <w:tcW w:w="1985" w:type="dxa"/>
            <w:tcBorders>
              <w:top w:val="single" w:sz="4" w:space="0" w:color="auto"/>
              <w:bottom w:val="single" w:sz="4" w:space="0" w:color="auto"/>
            </w:tcBorders>
            <w:vAlign w:val="bottom"/>
          </w:tcPr>
          <w:p w14:paraId="55538F9A" w14:textId="77777777" w:rsidR="0064507B" w:rsidRPr="00112DB6" w:rsidRDefault="0064507B" w:rsidP="006866F8">
            <w:pPr>
              <w:spacing w:before="0" w:after="0" w:line="240" w:lineRule="auto"/>
              <w:rPr>
                <w:rFonts w:cs="Times New Roman"/>
                <w:sz w:val="20"/>
                <w:szCs w:val="20"/>
                <w:lang w:val="en-US"/>
              </w:rPr>
            </w:pPr>
          </w:p>
        </w:tc>
        <w:tc>
          <w:tcPr>
            <w:tcW w:w="1842" w:type="dxa"/>
            <w:tcBorders>
              <w:top w:val="single" w:sz="4" w:space="0" w:color="auto"/>
              <w:bottom w:val="single" w:sz="4" w:space="0" w:color="auto"/>
            </w:tcBorders>
            <w:vAlign w:val="bottom"/>
          </w:tcPr>
          <w:p w14:paraId="01B8EFD9" w14:textId="77777777" w:rsidR="0064507B" w:rsidRPr="00112DB6" w:rsidRDefault="0064507B" w:rsidP="006866F8">
            <w:pPr>
              <w:spacing w:before="0" w:after="0" w:line="240" w:lineRule="auto"/>
              <w:rPr>
                <w:rFonts w:cs="Times New Roman"/>
                <w:sz w:val="20"/>
                <w:szCs w:val="20"/>
                <w:lang w:val="en-US"/>
              </w:rPr>
            </w:pPr>
          </w:p>
        </w:tc>
        <w:tc>
          <w:tcPr>
            <w:tcW w:w="1843" w:type="dxa"/>
            <w:tcBorders>
              <w:top w:val="single" w:sz="4" w:space="0" w:color="auto"/>
              <w:bottom w:val="single" w:sz="4" w:space="0" w:color="auto"/>
            </w:tcBorders>
            <w:vAlign w:val="bottom"/>
          </w:tcPr>
          <w:p w14:paraId="2ED616B3" w14:textId="77777777" w:rsidR="0064507B" w:rsidRPr="00112DB6" w:rsidRDefault="0064507B" w:rsidP="006866F8">
            <w:pPr>
              <w:spacing w:before="0" w:after="0" w:line="240" w:lineRule="auto"/>
              <w:rPr>
                <w:rFonts w:cs="Times New Roman"/>
                <w:sz w:val="20"/>
                <w:szCs w:val="20"/>
                <w:lang w:val="en-US"/>
              </w:rPr>
            </w:pPr>
          </w:p>
        </w:tc>
        <w:tc>
          <w:tcPr>
            <w:tcW w:w="1843" w:type="dxa"/>
            <w:tcBorders>
              <w:top w:val="single" w:sz="4" w:space="0" w:color="auto"/>
              <w:bottom w:val="single" w:sz="4" w:space="0" w:color="auto"/>
            </w:tcBorders>
            <w:vAlign w:val="bottom"/>
          </w:tcPr>
          <w:p w14:paraId="663193B7" w14:textId="77777777" w:rsidR="0064507B" w:rsidRPr="00112DB6" w:rsidRDefault="0064507B" w:rsidP="006866F8">
            <w:pPr>
              <w:spacing w:before="0" w:after="0" w:line="240" w:lineRule="auto"/>
              <w:rPr>
                <w:rFonts w:cs="Times New Roman"/>
                <w:sz w:val="20"/>
                <w:szCs w:val="20"/>
                <w:lang w:val="en-US"/>
              </w:rPr>
            </w:pPr>
          </w:p>
        </w:tc>
      </w:tr>
      <w:tr w:rsidR="0064507B" w:rsidRPr="00112DB6" w14:paraId="76395DAF" w14:textId="77777777" w:rsidTr="009E51EE">
        <w:tc>
          <w:tcPr>
            <w:tcW w:w="3119" w:type="dxa"/>
            <w:tcBorders>
              <w:top w:val="single" w:sz="4" w:space="0" w:color="auto"/>
              <w:bottom w:val="single" w:sz="4" w:space="0" w:color="auto"/>
            </w:tcBorders>
            <w:vAlign w:val="bottom"/>
          </w:tcPr>
          <w:p w14:paraId="78104342" w14:textId="77777777" w:rsidR="0064507B" w:rsidRPr="00112DB6" w:rsidRDefault="0064507B" w:rsidP="009E51EE">
            <w:pPr>
              <w:spacing w:before="0" w:after="0" w:line="360" w:lineRule="auto"/>
              <w:rPr>
                <w:rFonts w:cs="Times New Roman"/>
                <w:b/>
                <w:bCs/>
                <w:sz w:val="20"/>
                <w:szCs w:val="20"/>
                <w:lang w:val="en-US"/>
              </w:rPr>
            </w:pPr>
            <w:r w:rsidRPr="00112DB6">
              <w:rPr>
                <w:rFonts w:cs="Times New Roman"/>
                <w:b/>
                <w:bCs/>
                <w:sz w:val="20"/>
                <w:szCs w:val="20"/>
                <w:lang w:val="en-US"/>
              </w:rPr>
              <w:t xml:space="preserve">Chromosomal </w:t>
            </w:r>
          </w:p>
        </w:tc>
        <w:tc>
          <w:tcPr>
            <w:tcW w:w="1276" w:type="dxa"/>
            <w:tcBorders>
              <w:top w:val="single" w:sz="4" w:space="0" w:color="auto"/>
              <w:bottom w:val="single" w:sz="4" w:space="0" w:color="auto"/>
            </w:tcBorders>
          </w:tcPr>
          <w:p w14:paraId="22F12FB8" w14:textId="77777777" w:rsidR="0064507B" w:rsidRPr="00112DB6" w:rsidRDefault="0064507B"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19C05952" w14:textId="77777777" w:rsidR="0064507B" w:rsidRPr="00112DB6" w:rsidRDefault="0064507B"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032F7077" w14:textId="77777777" w:rsidR="0064507B" w:rsidRPr="00112DB6" w:rsidRDefault="0064507B"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4DFA3842" w14:textId="77777777" w:rsidR="0064507B" w:rsidRPr="00112DB6" w:rsidRDefault="0064507B"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134D0A35"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D8D4FA6" w14:textId="77777777" w:rsidR="0064507B" w:rsidRPr="00112DB6" w:rsidRDefault="0064507B"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1355638" w14:textId="77777777" w:rsidR="0064507B" w:rsidRPr="00112DB6" w:rsidRDefault="0064507B" w:rsidP="009E51EE">
            <w:pPr>
              <w:spacing w:before="0" w:after="0" w:line="360" w:lineRule="auto"/>
              <w:rPr>
                <w:rFonts w:cs="Times New Roman"/>
                <w:sz w:val="20"/>
                <w:szCs w:val="20"/>
                <w:lang w:val="en-US"/>
              </w:rPr>
            </w:pPr>
          </w:p>
        </w:tc>
      </w:tr>
      <w:tr w:rsidR="0064507B" w:rsidRPr="00112DB6" w14:paraId="6A3C7D36" w14:textId="77777777" w:rsidTr="009E51EE">
        <w:tc>
          <w:tcPr>
            <w:tcW w:w="3119" w:type="dxa"/>
            <w:tcBorders>
              <w:top w:val="single" w:sz="4" w:space="0" w:color="auto"/>
              <w:bottom w:val="single" w:sz="4" w:space="0" w:color="auto"/>
            </w:tcBorders>
            <w:vAlign w:val="bottom"/>
          </w:tcPr>
          <w:p w14:paraId="11CBFD63"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Down syndrome</w:t>
            </w:r>
          </w:p>
        </w:tc>
        <w:tc>
          <w:tcPr>
            <w:tcW w:w="1276" w:type="dxa"/>
            <w:tcBorders>
              <w:top w:val="single" w:sz="4" w:space="0" w:color="auto"/>
              <w:bottom w:val="single" w:sz="4" w:space="0" w:color="auto"/>
            </w:tcBorders>
            <w:vAlign w:val="bottom"/>
          </w:tcPr>
          <w:p w14:paraId="59C472E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4011</w:t>
            </w:r>
          </w:p>
        </w:tc>
        <w:tc>
          <w:tcPr>
            <w:tcW w:w="1275" w:type="dxa"/>
            <w:tcBorders>
              <w:top w:val="single" w:sz="4" w:space="0" w:color="auto"/>
              <w:bottom w:val="single" w:sz="4" w:space="0" w:color="auto"/>
            </w:tcBorders>
            <w:vAlign w:val="bottom"/>
          </w:tcPr>
          <w:p w14:paraId="607869F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226</w:t>
            </w:r>
          </w:p>
        </w:tc>
        <w:tc>
          <w:tcPr>
            <w:tcW w:w="1843" w:type="dxa"/>
            <w:tcBorders>
              <w:top w:val="single" w:sz="4" w:space="0" w:color="auto"/>
              <w:bottom w:val="single" w:sz="4" w:space="0" w:color="auto"/>
            </w:tcBorders>
            <w:vAlign w:val="bottom"/>
          </w:tcPr>
          <w:p w14:paraId="06854FF2"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(99.0-99.7)</w:t>
            </w:r>
          </w:p>
        </w:tc>
        <w:tc>
          <w:tcPr>
            <w:tcW w:w="1985" w:type="dxa"/>
            <w:tcBorders>
              <w:top w:val="single" w:sz="4" w:space="0" w:color="auto"/>
              <w:bottom w:val="single" w:sz="4" w:space="0" w:color="auto"/>
            </w:tcBorders>
            <w:vAlign w:val="bottom"/>
          </w:tcPr>
          <w:p w14:paraId="4358A10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98.7 (98.2-99.1)</w:t>
            </w:r>
          </w:p>
        </w:tc>
        <w:tc>
          <w:tcPr>
            <w:tcW w:w="1842" w:type="dxa"/>
            <w:tcBorders>
              <w:top w:val="single" w:sz="4" w:space="0" w:color="auto"/>
              <w:bottom w:val="single" w:sz="4" w:space="0" w:color="auto"/>
            </w:tcBorders>
            <w:vAlign w:val="bottom"/>
          </w:tcPr>
          <w:p w14:paraId="3A26402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96.2 (95.1-97.3)</w:t>
            </w:r>
          </w:p>
        </w:tc>
        <w:tc>
          <w:tcPr>
            <w:tcW w:w="1843" w:type="dxa"/>
            <w:tcBorders>
              <w:top w:val="single" w:sz="4" w:space="0" w:color="auto"/>
              <w:bottom w:val="single" w:sz="4" w:space="0" w:color="auto"/>
            </w:tcBorders>
            <w:vAlign w:val="bottom"/>
          </w:tcPr>
          <w:p w14:paraId="6878750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94.5 (93.1-96.0)</w:t>
            </w:r>
          </w:p>
        </w:tc>
        <w:tc>
          <w:tcPr>
            <w:tcW w:w="1843" w:type="dxa"/>
            <w:tcBorders>
              <w:top w:val="single" w:sz="4" w:space="0" w:color="auto"/>
              <w:bottom w:val="single" w:sz="4" w:space="0" w:color="auto"/>
            </w:tcBorders>
            <w:vAlign w:val="bottom"/>
          </w:tcPr>
          <w:p w14:paraId="702F863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94.3 (92.8-95.9)</w:t>
            </w:r>
          </w:p>
        </w:tc>
      </w:tr>
      <w:tr w:rsidR="0064507B" w:rsidRPr="00112DB6" w14:paraId="38866F23" w14:textId="77777777" w:rsidTr="009E51EE">
        <w:tc>
          <w:tcPr>
            <w:tcW w:w="3119" w:type="dxa"/>
            <w:tcBorders>
              <w:top w:val="single" w:sz="4" w:space="0" w:color="auto"/>
              <w:bottom w:val="single" w:sz="4" w:space="0" w:color="auto"/>
            </w:tcBorders>
            <w:vAlign w:val="bottom"/>
          </w:tcPr>
          <w:p w14:paraId="2D9C786E"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 xml:space="preserve">Down syndrome with CHD and digestive system anomaly </w:t>
            </w:r>
          </w:p>
        </w:tc>
        <w:tc>
          <w:tcPr>
            <w:tcW w:w="1276" w:type="dxa"/>
            <w:tcBorders>
              <w:top w:val="single" w:sz="4" w:space="0" w:color="auto"/>
              <w:bottom w:val="single" w:sz="4" w:space="0" w:color="auto"/>
            </w:tcBorders>
            <w:vAlign w:val="bottom"/>
          </w:tcPr>
          <w:p w14:paraId="66C4D87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180</w:t>
            </w:r>
          </w:p>
        </w:tc>
        <w:tc>
          <w:tcPr>
            <w:tcW w:w="1275" w:type="dxa"/>
            <w:tcBorders>
              <w:top w:val="single" w:sz="4" w:space="0" w:color="auto"/>
              <w:bottom w:val="single" w:sz="4" w:space="0" w:color="auto"/>
            </w:tcBorders>
            <w:vAlign w:val="bottom"/>
          </w:tcPr>
          <w:p w14:paraId="28B0680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23</w:t>
            </w:r>
          </w:p>
        </w:tc>
        <w:tc>
          <w:tcPr>
            <w:tcW w:w="1843" w:type="dxa"/>
            <w:tcBorders>
              <w:top w:val="single" w:sz="4" w:space="0" w:color="auto"/>
              <w:bottom w:val="single" w:sz="4" w:space="0" w:color="auto"/>
            </w:tcBorders>
            <w:vAlign w:val="bottom"/>
          </w:tcPr>
          <w:p w14:paraId="1292B8F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99.8 (99.0-100.0)</w:t>
            </w:r>
          </w:p>
        </w:tc>
        <w:tc>
          <w:tcPr>
            <w:tcW w:w="1985" w:type="dxa"/>
            <w:tcBorders>
              <w:top w:val="single" w:sz="4" w:space="0" w:color="auto"/>
              <w:bottom w:val="single" w:sz="4" w:space="0" w:color="auto"/>
            </w:tcBorders>
            <w:vAlign w:val="bottom"/>
          </w:tcPr>
          <w:p w14:paraId="21CFBED1"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97.4 (95.0-99.9)</w:t>
            </w:r>
          </w:p>
        </w:tc>
        <w:tc>
          <w:tcPr>
            <w:tcW w:w="1842" w:type="dxa"/>
            <w:tcBorders>
              <w:top w:val="single" w:sz="4" w:space="0" w:color="auto"/>
              <w:bottom w:val="single" w:sz="4" w:space="0" w:color="auto"/>
            </w:tcBorders>
            <w:vAlign w:val="bottom"/>
          </w:tcPr>
          <w:p w14:paraId="39D829E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93.8 (90.1-97.6)</w:t>
            </w:r>
          </w:p>
        </w:tc>
        <w:tc>
          <w:tcPr>
            <w:tcW w:w="1843" w:type="dxa"/>
            <w:tcBorders>
              <w:top w:val="single" w:sz="4" w:space="0" w:color="auto"/>
              <w:bottom w:val="single" w:sz="4" w:space="0" w:color="auto"/>
            </w:tcBorders>
            <w:vAlign w:val="bottom"/>
          </w:tcPr>
          <w:p w14:paraId="34CC2B7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88.7 (83.4-94.3)</w:t>
            </w:r>
          </w:p>
        </w:tc>
        <w:tc>
          <w:tcPr>
            <w:tcW w:w="1843" w:type="dxa"/>
            <w:tcBorders>
              <w:top w:val="single" w:sz="4" w:space="0" w:color="auto"/>
              <w:bottom w:val="single" w:sz="4" w:space="0" w:color="auto"/>
            </w:tcBorders>
            <w:vAlign w:val="bottom"/>
          </w:tcPr>
          <w:p w14:paraId="17ABE53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88.6 (83.2-94.3)</w:t>
            </w:r>
          </w:p>
        </w:tc>
      </w:tr>
      <w:tr w:rsidR="0064507B" w:rsidRPr="00112DB6" w14:paraId="1F7EFEA1" w14:textId="77777777" w:rsidTr="009E51EE">
        <w:tc>
          <w:tcPr>
            <w:tcW w:w="3119" w:type="dxa"/>
            <w:tcBorders>
              <w:top w:val="single" w:sz="4" w:space="0" w:color="auto"/>
              <w:bottom w:val="single" w:sz="4" w:space="0" w:color="auto"/>
            </w:tcBorders>
            <w:vAlign w:val="bottom"/>
          </w:tcPr>
          <w:p w14:paraId="186275F9"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Down syndrome with any CHD, but not digestive system anomaly</w:t>
            </w:r>
          </w:p>
        </w:tc>
        <w:tc>
          <w:tcPr>
            <w:tcW w:w="1276" w:type="dxa"/>
            <w:tcBorders>
              <w:top w:val="single" w:sz="4" w:space="0" w:color="auto"/>
              <w:bottom w:val="single" w:sz="4" w:space="0" w:color="auto"/>
            </w:tcBorders>
            <w:vAlign w:val="bottom"/>
          </w:tcPr>
          <w:p w14:paraId="1454864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1728</w:t>
            </w:r>
          </w:p>
        </w:tc>
        <w:tc>
          <w:tcPr>
            <w:tcW w:w="1275" w:type="dxa"/>
            <w:tcBorders>
              <w:top w:val="single" w:sz="4" w:space="0" w:color="auto"/>
              <w:bottom w:val="single" w:sz="4" w:space="0" w:color="auto"/>
            </w:tcBorders>
            <w:vAlign w:val="bottom"/>
          </w:tcPr>
          <w:p w14:paraId="09B0542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121</w:t>
            </w:r>
          </w:p>
        </w:tc>
        <w:tc>
          <w:tcPr>
            <w:tcW w:w="1843" w:type="dxa"/>
            <w:tcBorders>
              <w:top w:val="single" w:sz="4" w:space="0" w:color="auto"/>
              <w:bottom w:val="single" w:sz="4" w:space="0" w:color="auto"/>
            </w:tcBorders>
            <w:vAlign w:val="bottom"/>
          </w:tcPr>
          <w:p w14:paraId="4C99D18F"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99.6 (99.3-100.0)</w:t>
            </w:r>
          </w:p>
        </w:tc>
        <w:tc>
          <w:tcPr>
            <w:tcW w:w="1985" w:type="dxa"/>
            <w:tcBorders>
              <w:top w:val="single" w:sz="4" w:space="0" w:color="auto"/>
              <w:bottom w:val="single" w:sz="4" w:space="0" w:color="auto"/>
            </w:tcBorders>
            <w:vAlign w:val="bottom"/>
          </w:tcPr>
          <w:p w14:paraId="44092FEB"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99.2 (98.7-99.7)</w:t>
            </w:r>
          </w:p>
        </w:tc>
        <w:tc>
          <w:tcPr>
            <w:tcW w:w="1842" w:type="dxa"/>
            <w:tcBorders>
              <w:top w:val="single" w:sz="4" w:space="0" w:color="auto"/>
              <w:bottom w:val="single" w:sz="4" w:space="0" w:color="auto"/>
            </w:tcBorders>
            <w:vAlign w:val="bottom"/>
          </w:tcPr>
          <w:p w14:paraId="2F80237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94.8 (92.9-96.8)</w:t>
            </w:r>
          </w:p>
        </w:tc>
        <w:tc>
          <w:tcPr>
            <w:tcW w:w="1843" w:type="dxa"/>
            <w:tcBorders>
              <w:top w:val="single" w:sz="4" w:space="0" w:color="auto"/>
              <w:bottom w:val="single" w:sz="4" w:space="0" w:color="auto"/>
            </w:tcBorders>
            <w:vAlign w:val="bottom"/>
          </w:tcPr>
          <w:p w14:paraId="61DD3E95"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92.9 (90.3-95.5)</w:t>
            </w:r>
          </w:p>
        </w:tc>
        <w:tc>
          <w:tcPr>
            <w:tcW w:w="1843" w:type="dxa"/>
            <w:tcBorders>
              <w:top w:val="single" w:sz="4" w:space="0" w:color="auto"/>
              <w:bottom w:val="single" w:sz="4" w:space="0" w:color="auto"/>
            </w:tcBorders>
            <w:vAlign w:val="bottom"/>
          </w:tcPr>
          <w:p w14:paraId="7FB6B65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92.3 (89.4-95.3)</w:t>
            </w:r>
          </w:p>
        </w:tc>
      </w:tr>
      <w:tr w:rsidR="0064507B" w:rsidRPr="00112DB6" w14:paraId="2E32B241" w14:textId="77777777" w:rsidTr="009E51EE">
        <w:tc>
          <w:tcPr>
            <w:tcW w:w="3119" w:type="dxa"/>
            <w:tcBorders>
              <w:top w:val="single" w:sz="4" w:space="0" w:color="auto"/>
              <w:bottom w:val="single" w:sz="4" w:space="0" w:color="auto"/>
            </w:tcBorders>
            <w:vAlign w:val="bottom"/>
          </w:tcPr>
          <w:p w14:paraId="65FB2F3E"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Down syndrome with any digestive system anomaly, but not CHD</w:t>
            </w:r>
          </w:p>
        </w:tc>
        <w:tc>
          <w:tcPr>
            <w:tcW w:w="1276" w:type="dxa"/>
            <w:tcBorders>
              <w:top w:val="single" w:sz="4" w:space="0" w:color="auto"/>
              <w:bottom w:val="single" w:sz="4" w:space="0" w:color="auto"/>
            </w:tcBorders>
            <w:vAlign w:val="bottom"/>
          </w:tcPr>
          <w:p w14:paraId="705045A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140</w:t>
            </w:r>
          </w:p>
        </w:tc>
        <w:tc>
          <w:tcPr>
            <w:tcW w:w="1275" w:type="dxa"/>
            <w:tcBorders>
              <w:top w:val="single" w:sz="4" w:space="0" w:color="auto"/>
              <w:bottom w:val="single" w:sz="4" w:space="0" w:color="auto"/>
            </w:tcBorders>
            <w:vAlign w:val="bottom"/>
          </w:tcPr>
          <w:p w14:paraId="528DC3C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w:t>
            </w:r>
          </w:p>
        </w:tc>
        <w:tc>
          <w:tcPr>
            <w:tcW w:w="1843" w:type="dxa"/>
            <w:tcBorders>
              <w:top w:val="single" w:sz="4" w:space="0" w:color="auto"/>
              <w:bottom w:val="single" w:sz="4" w:space="0" w:color="auto"/>
            </w:tcBorders>
            <w:vAlign w:val="bottom"/>
          </w:tcPr>
          <w:p w14:paraId="239BAF1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98.4 (96.2-100.0)</w:t>
            </w:r>
          </w:p>
        </w:tc>
        <w:tc>
          <w:tcPr>
            <w:tcW w:w="1985" w:type="dxa"/>
            <w:tcBorders>
              <w:top w:val="single" w:sz="4" w:space="0" w:color="auto"/>
              <w:bottom w:val="single" w:sz="4" w:space="0" w:color="auto"/>
            </w:tcBorders>
            <w:vAlign w:val="bottom"/>
          </w:tcPr>
          <w:p w14:paraId="2698AF0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96.9 (93.9-99.9)</w:t>
            </w:r>
          </w:p>
        </w:tc>
        <w:tc>
          <w:tcPr>
            <w:tcW w:w="1842" w:type="dxa"/>
            <w:tcBorders>
              <w:top w:val="single" w:sz="4" w:space="0" w:color="auto"/>
              <w:bottom w:val="single" w:sz="4" w:space="0" w:color="auto"/>
            </w:tcBorders>
            <w:vAlign w:val="bottom"/>
          </w:tcPr>
          <w:p w14:paraId="4A7F05F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94.2 (90.2-98.3)</w:t>
            </w:r>
          </w:p>
        </w:tc>
        <w:tc>
          <w:tcPr>
            <w:tcW w:w="1843" w:type="dxa"/>
            <w:tcBorders>
              <w:top w:val="single" w:sz="4" w:space="0" w:color="auto"/>
              <w:bottom w:val="single" w:sz="4" w:space="0" w:color="auto"/>
            </w:tcBorders>
            <w:vAlign w:val="bottom"/>
          </w:tcPr>
          <w:p w14:paraId="0615BD70"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93.1 (88.7-97.8)</w:t>
            </w:r>
          </w:p>
        </w:tc>
        <w:tc>
          <w:tcPr>
            <w:tcW w:w="1843" w:type="dxa"/>
            <w:tcBorders>
              <w:top w:val="single" w:sz="4" w:space="0" w:color="auto"/>
              <w:bottom w:val="single" w:sz="4" w:space="0" w:color="auto"/>
            </w:tcBorders>
            <w:vAlign w:val="bottom"/>
          </w:tcPr>
          <w:p w14:paraId="0B113534"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92.8 (87.7-98.2)</w:t>
            </w:r>
          </w:p>
        </w:tc>
      </w:tr>
      <w:tr w:rsidR="0064507B" w:rsidRPr="00112DB6" w14:paraId="08CECE62" w14:textId="77777777" w:rsidTr="009E51EE">
        <w:tc>
          <w:tcPr>
            <w:tcW w:w="3119" w:type="dxa"/>
            <w:tcBorders>
              <w:top w:val="single" w:sz="4" w:space="0" w:color="auto"/>
              <w:bottom w:val="single" w:sz="4" w:space="0" w:color="auto"/>
            </w:tcBorders>
            <w:vAlign w:val="bottom"/>
          </w:tcPr>
          <w:p w14:paraId="69ED4173"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Down syndrome without CHD and digestive system anomaly</w:t>
            </w:r>
          </w:p>
        </w:tc>
        <w:tc>
          <w:tcPr>
            <w:tcW w:w="1276" w:type="dxa"/>
            <w:tcBorders>
              <w:top w:val="single" w:sz="4" w:space="0" w:color="auto"/>
              <w:bottom w:val="single" w:sz="4" w:space="0" w:color="auto"/>
            </w:tcBorders>
            <w:vAlign w:val="bottom"/>
          </w:tcPr>
          <w:p w14:paraId="4DF4D0D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1963</w:t>
            </w:r>
          </w:p>
        </w:tc>
        <w:tc>
          <w:tcPr>
            <w:tcW w:w="1275" w:type="dxa"/>
            <w:tcBorders>
              <w:top w:val="single" w:sz="4" w:space="0" w:color="auto"/>
              <w:bottom w:val="single" w:sz="4" w:space="0" w:color="auto"/>
            </w:tcBorders>
            <w:vAlign w:val="bottom"/>
          </w:tcPr>
          <w:p w14:paraId="43FB94F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74</w:t>
            </w:r>
          </w:p>
        </w:tc>
        <w:tc>
          <w:tcPr>
            <w:tcW w:w="1843" w:type="dxa"/>
            <w:tcBorders>
              <w:top w:val="single" w:sz="4" w:space="0" w:color="auto"/>
              <w:bottom w:val="single" w:sz="4" w:space="0" w:color="auto"/>
            </w:tcBorders>
            <w:vAlign w:val="bottom"/>
          </w:tcPr>
          <w:p w14:paraId="258E22DE"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99.3 (98.7-100.0)</w:t>
            </w:r>
          </w:p>
        </w:tc>
        <w:tc>
          <w:tcPr>
            <w:tcW w:w="1985" w:type="dxa"/>
            <w:tcBorders>
              <w:top w:val="single" w:sz="4" w:space="0" w:color="auto"/>
              <w:bottom w:val="single" w:sz="4" w:space="0" w:color="auto"/>
            </w:tcBorders>
            <w:vAlign w:val="bottom"/>
          </w:tcPr>
          <w:p w14:paraId="58DC6A6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98.8 (98.2-99.5)</w:t>
            </w:r>
          </w:p>
        </w:tc>
        <w:tc>
          <w:tcPr>
            <w:tcW w:w="1842" w:type="dxa"/>
            <w:tcBorders>
              <w:top w:val="single" w:sz="4" w:space="0" w:color="auto"/>
              <w:bottom w:val="single" w:sz="4" w:space="0" w:color="auto"/>
            </w:tcBorders>
            <w:vAlign w:val="bottom"/>
          </w:tcPr>
          <w:p w14:paraId="1AEABD66"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98.4 (97.6-99.3)</w:t>
            </w:r>
          </w:p>
        </w:tc>
        <w:tc>
          <w:tcPr>
            <w:tcW w:w="1843" w:type="dxa"/>
            <w:tcBorders>
              <w:top w:val="single" w:sz="4" w:space="0" w:color="auto"/>
              <w:bottom w:val="single" w:sz="4" w:space="0" w:color="auto"/>
            </w:tcBorders>
            <w:vAlign w:val="bottom"/>
          </w:tcPr>
          <w:p w14:paraId="3A70AC93"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97.7 (96.7-98.8)</w:t>
            </w:r>
          </w:p>
        </w:tc>
        <w:tc>
          <w:tcPr>
            <w:tcW w:w="1843" w:type="dxa"/>
            <w:tcBorders>
              <w:top w:val="single" w:sz="4" w:space="0" w:color="auto"/>
              <w:bottom w:val="single" w:sz="4" w:space="0" w:color="auto"/>
            </w:tcBorders>
            <w:vAlign w:val="bottom"/>
          </w:tcPr>
          <w:p w14:paraId="0F9957ED" w14:textId="77777777" w:rsidR="0064507B" w:rsidRPr="00112DB6" w:rsidRDefault="0064507B" w:rsidP="009E51EE">
            <w:pPr>
              <w:spacing w:before="0" w:after="0" w:line="360" w:lineRule="auto"/>
              <w:rPr>
                <w:rFonts w:cs="Times New Roman"/>
                <w:sz w:val="20"/>
                <w:szCs w:val="20"/>
                <w:lang w:val="en-US"/>
              </w:rPr>
            </w:pPr>
            <w:r w:rsidRPr="00112DB6">
              <w:rPr>
                <w:rFonts w:cs="Times New Roman"/>
                <w:sz w:val="20"/>
                <w:szCs w:val="20"/>
                <w:lang w:val="en-US"/>
              </w:rPr>
              <w:t>97.6 (96.5-98.7)</w:t>
            </w:r>
          </w:p>
        </w:tc>
      </w:tr>
    </w:tbl>
    <w:p w14:paraId="00D02A52" w14:textId="77777777" w:rsidR="0064507B" w:rsidRPr="00112DB6" w:rsidRDefault="0064507B" w:rsidP="009E51EE">
      <w:pPr>
        <w:autoSpaceDE w:val="0"/>
        <w:autoSpaceDN w:val="0"/>
        <w:adjustRightInd w:val="0"/>
        <w:spacing w:after="0" w:line="240" w:lineRule="auto"/>
        <w:rPr>
          <w:rFonts w:cs="Times New Roman"/>
          <w:szCs w:val="24"/>
          <w:vertAlign w:val="superscript"/>
          <w:lang w:val="en-US"/>
        </w:rPr>
      </w:pPr>
      <w:r w:rsidRPr="00112DB6">
        <w:rPr>
          <w:szCs w:val="24"/>
          <w:lang w:val="en-US"/>
        </w:rPr>
        <w:t>CHD, congenital heart defect; CI, confidence interval.</w:t>
      </w:r>
    </w:p>
    <w:p w14:paraId="4CF43F6A" w14:textId="77777777" w:rsidR="0064507B" w:rsidRPr="00112DB6" w:rsidRDefault="0064507B" w:rsidP="009E51EE">
      <w:pPr>
        <w:autoSpaceDE w:val="0"/>
        <w:autoSpaceDN w:val="0"/>
        <w:adjustRightInd w:val="0"/>
        <w:spacing w:before="0" w:after="0" w:line="240" w:lineRule="auto"/>
        <w:rPr>
          <w:rFonts w:cs="AdvP7C2E"/>
          <w:color w:val="231F20"/>
          <w:lang w:val="en-US"/>
        </w:rPr>
      </w:pPr>
      <w:proofErr w:type="spellStart"/>
      <w:proofErr w:type="gramStart"/>
      <w:r w:rsidRPr="00112DB6">
        <w:rPr>
          <w:rFonts w:cs="Times New Roman"/>
          <w:szCs w:val="24"/>
          <w:vertAlign w:val="superscript"/>
          <w:lang w:val="en-US"/>
        </w:rPr>
        <w:t>a</w:t>
      </w:r>
      <w:proofErr w:type="spellEnd"/>
      <w:proofErr w:type="gramEnd"/>
      <w:r w:rsidRPr="00112DB6">
        <w:rPr>
          <w:szCs w:val="24"/>
          <w:lang w:val="en-US"/>
        </w:rPr>
        <w:t xml:space="preserve"> </w:t>
      </w:r>
      <w:r w:rsidRPr="00112DB6">
        <w:rPr>
          <w:rFonts w:cs="Times New Roman"/>
          <w:color w:val="201F1E"/>
          <w:szCs w:val="24"/>
          <w:lang w:val="en-US"/>
        </w:rPr>
        <w:t>For each anomaly subgroup, all children with the specified anomalies were included and those with an isolated anomaly only were identified</w:t>
      </w:r>
      <w:r w:rsidRPr="00112DB6">
        <w:rPr>
          <w:color w:val="201F1E"/>
          <w:lang w:val="en-US"/>
        </w:rPr>
        <w:t xml:space="preserve">. </w:t>
      </w:r>
      <w:r w:rsidRPr="00112DB6">
        <w:rPr>
          <w:rFonts w:cs="Times New Roman"/>
          <w:szCs w:val="24"/>
          <w:lang w:val="en-US"/>
        </w:rPr>
        <w:t>An i</w:t>
      </w:r>
      <w:r w:rsidRPr="00112DB6">
        <w:rPr>
          <w:rFonts w:cs="Times New Roman"/>
          <w:lang w:val="en-US"/>
        </w:rPr>
        <w:t xml:space="preserve">solated congenital anomaly </w:t>
      </w:r>
      <w:proofErr w:type="gramStart"/>
      <w:r w:rsidRPr="00112DB6">
        <w:rPr>
          <w:rFonts w:cs="Times New Roman"/>
          <w:lang w:val="en-US"/>
        </w:rPr>
        <w:t>is defined</w:t>
      </w:r>
      <w:proofErr w:type="gramEnd"/>
      <w:r w:rsidRPr="00112DB6">
        <w:rPr>
          <w:rFonts w:cs="Times New Roman"/>
          <w:lang w:val="en-US"/>
        </w:rPr>
        <w:t xml:space="preserve"> as </w:t>
      </w:r>
      <w:r w:rsidRPr="00112DB6">
        <w:rPr>
          <w:rFonts w:cs="Times New Roman"/>
          <w:color w:val="231F20"/>
          <w:lang w:val="en-US"/>
        </w:rPr>
        <w:t xml:space="preserve">a structural congenital anomaly in one organ system only or </w:t>
      </w:r>
      <w:r w:rsidRPr="00112DB6">
        <w:rPr>
          <w:rFonts w:cs="Times New Roman"/>
          <w:color w:val="231F20"/>
          <w:szCs w:val="24"/>
          <w:lang w:val="en-US"/>
        </w:rPr>
        <w:t>if co-existing anomalies were a consequence of a single primary anomaly</w:t>
      </w:r>
      <w:r w:rsidRPr="00112DB6">
        <w:rPr>
          <w:rFonts w:cs="AdvP7C2E"/>
          <w:color w:val="231F20"/>
          <w:lang w:val="en-US"/>
        </w:rPr>
        <w:t>.</w:t>
      </w:r>
    </w:p>
    <w:p w14:paraId="5131A51E" w14:textId="77777777" w:rsidR="0064507B" w:rsidRPr="00112DB6" w:rsidRDefault="0064507B" w:rsidP="009E51EE">
      <w:pPr>
        <w:autoSpaceDE w:val="0"/>
        <w:autoSpaceDN w:val="0"/>
        <w:adjustRightInd w:val="0"/>
        <w:spacing w:before="0" w:after="0" w:line="240" w:lineRule="auto"/>
        <w:rPr>
          <w:szCs w:val="24"/>
          <w:lang w:val="en-US"/>
        </w:rPr>
      </w:pPr>
      <w:proofErr w:type="gramStart"/>
      <w:r w:rsidRPr="00112DB6">
        <w:rPr>
          <w:rFonts w:cs="Times New Roman"/>
          <w:szCs w:val="24"/>
          <w:vertAlign w:val="superscript"/>
          <w:lang w:val="en-US"/>
        </w:rPr>
        <w:t>b</w:t>
      </w:r>
      <w:proofErr w:type="gramEnd"/>
      <w:r w:rsidRPr="00112DB6">
        <w:rPr>
          <w:rFonts w:cs="Times New Roman"/>
          <w:szCs w:val="24"/>
          <w:vertAlign w:val="superscript"/>
          <w:lang w:val="en-US"/>
        </w:rPr>
        <w:t xml:space="preserve"> </w:t>
      </w:r>
      <w:r w:rsidRPr="00112DB6">
        <w:rPr>
          <w:rFonts w:cs="Times New Roman"/>
          <w:szCs w:val="24"/>
          <w:lang w:val="en-US"/>
        </w:rPr>
        <w:t xml:space="preserve">Reduction </w:t>
      </w:r>
      <w:r w:rsidRPr="00112DB6">
        <w:rPr>
          <w:szCs w:val="24"/>
          <w:lang w:val="en-US"/>
        </w:rPr>
        <w:t>in the size of the brain with a head circumference more than 3 standard deviations below the mean for sex, gestational age and ethnic origin (EUROCAT definition</w:t>
      </w:r>
      <w:r w:rsidRPr="00112DB6">
        <w:rPr>
          <w:szCs w:val="24"/>
          <w:vertAlign w:val="superscript"/>
          <w:lang w:val="en-US"/>
        </w:rPr>
        <w:t>41</w:t>
      </w:r>
      <w:r w:rsidRPr="00112DB6">
        <w:rPr>
          <w:szCs w:val="24"/>
          <w:lang w:val="en-US"/>
        </w:rPr>
        <w:t>).</w:t>
      </w:r>
    </w:p>
    <w:p w14:paraId="78984C82" w14:textId="77777777" w:rsidR="0064507B" w:rsidRPr="00112DB6" w:rsidRDefault="0064507B" w:rsidP="009E51EE">
      <w:pPr>
        <w:pStyle w:val="Default"/>
        <w:rPr>
          <w:rFonts w:ascii="Times New Roman" w:eastAsia="AdvP7C2E" w:hAnsi="Times New Roman" w:cs="Times New Roman"/>
          <w:color w:val="3A3535"/>
          <w:lang w:val="en-US"/>
        </w:rPr>
      </w:pPr>
      <w:proofErr w:type="gramStart"/>
      <w:r w:rsidRPr="00112DB6">
        <w:rPr>
          <w:rFonts w:ascii="Times New Roman" w:hAnsi="Times New Roman" w:cs="Times New Roman"/>
          <w:vertAlign w:val="superscript"/>
          <w:lang w:val="en-US"/>
        </w:rPr>
        <w:t>c</w:t>
      </w:r>
      <w:r w:rsidRPr="00112DB6">
        <w:rPr>
          <w:rFonts w:ascii="Times New Roman" w:hAnsi="Times New Roman" w:cs="Times New Roman"/>
          <w:lang w:val="en-US"/>
        </w:rPr>
        <w:t xml:space="preserve"> Severe CHD included the following CHD subgroups: common arterial truncus</w:t>
      </w:r>
      <w:r w:rsidRPr="00112DB6">
        <w:rPr>
          <w:rFonts w:ascii="Times New Roman" w:eastAsia="AdvP7C2E" w:hAnsi="Times New Roman" w:cs="Times New Roman"/>
          <w:color w:val="3A3535"/>
          <w:lang w:val="en-US"/>
        </w:rPr>
        <w:t xml:space="preserve">, </w:t>
      </w:r>
      <w:r w:rsidRPr="00112DB6">
        <w:rPr>
          <w:rFonts w:ascii="Times New Roman" w:hAnsi="Times New Roman" w:cs="Times New Roman"/>
          <w:lang w:val="en-US"/>
        </w:rPr>
        <w:t xml:space="preserve">double outlet right ventricle, transposition of great vessels, single ventricle, </w:t>
      </w:r>
      <w:r w:rsidRPr="00112DB6">
        <w:rPr>
          <w:rFonts w:ascii="Times New Roman" w:hAnsi="Times New Roman" w:cs="Times New Roman"/>
          <w:shd w:val="clear" w:color="auto" w:fill="FFFFFF"/>
          <w:lang w:val="en-US"/>
        </w:rPr>
        <w:t>atrioventricular septal defect</w:t>
      </w:r>
      <w:r w:rsidRPr="00112DB6">
        <w:rPr>
          <w:rFonts w:ascii="Times New Roman" w:hAnsi="Times New Roman" w:cs="Times New Roman"/>
          <w:lang w:val="en-US"/>
        </w:rPr>
        <w:t xml:space="preserve">, tetralogy of </w:t>
      </w:r>
      <w:proofErr w:type="spellStart"/>
      <w:r w:rsidRPr="00112DB6">
        <w:rPr>
          <w:rFonts w:ascii="Times New Roman" w:hAnsi="Times New Roman" w:cs="Times New Roman"/>
          <w:lang w:val="en-US"/>
        </w:rPr>
        <w:t>Fallot</w:t>
      </w:r>
      <w:proofErr w:type="spellEnd"/>
      <w:r w:rsidRPr="00112DB6">
        <w:rPr>
          <w:rFonts w:ascii="Times New Roman" w:hAnsi="Times New Roman" w:cs="Times New Roman"/>
          <w:lang w:val="en-US"/>
        </w:rPr>
        <w:t xml:space="preserve">, pulmonary valve atresia, </w:t>
      </w:r>
      <w:proofErr w:type="spellStart"/>
      <w:r w:rsidRPr="00112DB6">
        <w:rPr>
          <w:rFonts w:ascii="Times New Roman" w:hAnsi="Times New Roman" w:cs="Times New Roman"/>
          <w:lang w:val="en-US"/>
        </w:rPr>
        <w:t>triscuspid</w:t>
      </w:r>
      <w:proofErr w:type="spellEnd"/>
      <w:r w:rsidRPr="00112DB6">
        <w:rPr>
          <w:rFonts w:ascii="Times New Roman" w:hAnsi="Times New Roman" w:cs="Times New Roman"/>
          <w:lang w:val="en-US"/>
        </w:rPr>
        <w:t xml:space="preserve"> atresia and stenosis, </w:t>
      </w:r>
      <w:proofErr w:type="spellStart"/>
      <w:r w:rsidRPr="00112DB6">
        <w:rPr>
          <w:rFonts w:ascii="Times New Roman" w:hAnsi="Times New Roman" w:cs="Times New Roman"/>
          <w:lang w:val="en-US"/>
        </w:rPr>
        <w:t>Ebstein</w:t>
      </w:r>
      <w:proofErr w:type="spellEnd"/>
      <w:r w:rsidRPr="00112DB6">
        <w:rPr>
          <w:rFonts w:ascii="Times New Roman" w:hAnsi="Times New Roman" w:cs="Times New Roman"/>
          <w:lang w:val="en-US"/>
        </w:rPr>
        <w:t xml:space="preserve"> anomaly, </w:t>
      </w:r>
      <w:proofErr w:type="spellStart"/>
      <w:r w:rsidRPr="00112DB6">
        <w:rPr>
          <w:rFonts w:ascii="Times New Roman" w:hAnsi="Times New Roman" w:cs="Times New Roman"/>
          <w:lang w:val="en-US"/>
        </w:rPr>
        <w:t>hypoplastic</w:t>
      </w:r>
      <w:proofErr w:type="spellEnd"/>
      <w:r w:rsidRPr="00112DB6">
        <w:rPr>
          <w:rFonts w:ascii="Times New Roman" w:hAnsi="Times New Roman" w:cs="Times New Roman"/>
          <w:lang w:val="en-US"/>
        </w:rPr>
        <w:t xml:space="preserve"> </w:t>
      </w:r>
      <w:r w:rsidRPr="00112DB6">
        <w:rPr>
          <w:rFonts w:ascii="Times New Roman" w:hAnsi="Times New Roman" w:cs="Times New Roman"/>
          <w:lang w:val="en-US"/>
        </w:rPr>
        <w:lastRenderedPageBreak/>
        <w:t xml:space="preserve">right heart, aortic valve atresia/stenosis, mitral valve anomalies, </w:t>
      </w:r>
      <w:proofErr w:type="spellStart"/>
      <w:r w:rsidRPr="00112DB6">
        <w:rPr>
          <w:rFonts w:ascii="Times New Roman" w:hAnsi="Times New Roman" w:cs="Times New Roman"/>
          <w:lang w:val="en-US"/>
        </w:rPr>
        <w:t>hypoplastic</w:t>
      </w:r>
      <w:proofErr w:type="spellEnd"/>
      <w:r w:rsidRPr="00112DB6">
        <w:rPr>
          <w:rFonts w:ascii="Times New Roman" w:hAnsi="Times New Roman" w:cs="Times New Roman"/>
          <w:lang w:val="en-US"/>
        </w:rPr>
        <w:t xml:space="preserve"> left heart, </w:t>
      </w:r>
      <w:proofErr w:type="spellStart"/>
      <w:r w:rsidRPr="00112DB6">
        <w:rPr>
          <w:rFonts w:ascii="Times New Roman" w:hAnsi="Times New Roman" w:cs="Times New Roman"/>
          <w:lang w:val="en-US"/>
        </w:rPr>
        <w:t>coarctation</w:t>
      </w:r>
      <w:proofErr w:type="spellEnd"/>
      <w:r w:rsidRPr="00112DB6">
        <w:rPr>
          <w:rFonts w:ascii="Times New Roman" w:hAnsi="Times New Roman" w:cs="Times New Roman"/>
          <w:lang w:val="en-US"/>
        </w:rPr>
        <w:t xml:space="preserve"> of aorta, aortic atresia/interrupted aortic arch, total anomalous pulmonary venous return (see the corresponding ICD codes in Supplemental Table 1 and Morris et al</w:t>
      </w:r>
      <w:r w:rsidRPr="00112DB6">
        <w:rPr>
          <w:rFonts w:ascii="Times New Roman" w:hAnsi="Times New Roman" w:cs="Times New Roman"/>
          <w:vertAlign w:val="superscript"/>
          <w:lang w:val="en-US"/>
        </w:rPr>
        <w:t>17</w:t>
      </w:r>
      <w:r w:rsidRPr="00112DB6">
        <w:rPr>
          <w:rFonts w:ascii="Times New Roman" w:hAnsi="Times New Roman" w:cs="Times New Roman"/>
          <w:lang w:val="en-US"/>
        </w:rPr>
        <w:t xml:space="preserve"> for more rare CHD).</w:t>
      </w:r>
      <w:proofErr w:type="gramEnd"/>
    </w:p>
    <w:p w14:paraId="05BC048D" w14:textId="77777777" w:rsidR="0064507B" w:rsidRPr="00112DB6" w:rsidRDefault="0064507B" w:rsidP="009E51EE">
      <w:pPr>
        <w:autoSpaceDE w:val="0"/>
        <w:autoSpaceDN w:val="0"/>
        <w:adjustRightInd w:val="0"/>
        <w:spacing w:before="0" w:after="0" w:line="240" w:lineRule="auto"/>
        <w:rPr>
          <w:rFonts w:eastAsia="AdvP7C2E" w:cs="Times New Roman"/>
          <w:color w:val="3A3535"/>
          <w:szCs w:val="24"/>
          <w:lang w:val="en-US"/>
        </w:rPr>
      </w:pPr>
      <w:proofErr w:type="gramStart"/>
      <w:r w:rsidRPr="00112DB6">
        <w:rPr>
          <w:rFonts w:eastAsia="AdvP7C2E" w:cs="Times New Roman"/>
          <w:color w:val="3A3535"/>
          <w:szCs w:val="24"/>
          <w:lang w:val="en-US"/>
        </w:rPr>
        <w:t xml:space="preserve">The number of live births or deaths for ‘any isolated anomaly’ is not equal to the sum of those for each congenital anomaly subgroup as some congenital anomalies may belong to more than one congenital anomaly subgroup, </w:t>
      </w:r>
      <w:proofErr w:type="spellStart"/>
      <w:r w:rsidRPr="00112DB6">
        <w:rPr>
          <w:rFonts w:eastAsia="AdvP7C2E" w:cs="Times New Roman"/>
          <w:color w:val="3A3535"/>
          <w:szCs w:val="24"/>
          <w:lang w:val="en-US"/>
        </w:rPr>
        <w:t>eg</w:t>
      </w:r>
      <w:proofErr w:type="spellEnd"/>
      <w:r w:rsidRPr="00112DB6">
        <w:rPr>
          <w:rFonts w:eastAsia="AdvP7C2E" w:cs="Times New Roman"/>
          <w:color w:val="3A3535"/>
          <w:szCs w:val="24"/>
          <w:lang w:val="en-US"/>
        </w:rPr>
        <w:t>, an individual CHD may also be associated with severe CHD, and ‘any isolated anomaly’ may include other subgroups not listed in this table.</w:t>
      </w:r>
      <w:proofErr w:type="gramEnd"/>
      <w:r w:rsidRPr="00112DB6">
        <w:rPr>
          <w:rFonts w:eastAsia="AdvP7C2E" w:cs="Times New Roman"/>
          <w:color w:val="3A3535"/>
          <w:szCs w:val="24"/>
          <w:lang w:val="en-US"/>
        </w:rPr>
        <w:t xml:space="preserve"> </w:t>
      </w:r>
    </w:p>
    <w:p w14:paraId="1907494D" w14:textId="77777777" w:rsidR="0064507B" w:rsidRPr="00112DB6" w:rsidRDefault="0064507B" w:rsidP="009E51EE">
      <w:pPr>
        <w:autoSpaceDE w:val="0"/>
        <w:autoSpaceDN w:val="0"/>
        <w:adjustRightInd w:val="0"/>
        <w:spacing w:before="0" w:after="0" w:line="240" w:lineRule="auto"/>
        <w:rPr>
          <w:rFonts w:eastAsia="AdvP7C2E" w:cs="Times New Roman"/>
          <w:color w:val="3A3535"/>
          <w:szCs w:val="24"/>
          <w:lang w:val="en-US"/>
        </w:rPr>
      </w:pPr>
      <w:r w:rsidRPr="00112DB6">
        <w:rPr>
          <w:rFonts w:eastAsia="AdvP7C2E" w:cs="Times New Roman"/>
          <w:color w:val="3A3535"/>
          <w:szCs w:val="24"/>
          <w:lang w:val="en-US"/>
        </w:rPr>
        <w:t>The survival estimate of 100% at 1 week for two congenital anomaly subgroups is because of rounding to one decimal place.</w:t>
      </w:r>
    </w:p>
    <w:p w14:paraId="4793CBAA" w14:textId="77777777" w:rsidR="0064507B" w:rsidRPr="00112DB6" w:rsidRDefault="0064507B" w:rsidP="009E51EE">
      <w:pPr>
        <w:autoSpaceDE w:val="0"/>
        <w:autoSpaceDN w:val="0"/>
        <w:adjustRightInd w:val="0"/>
        <w:spacing w:before="0" w:after="0" w:line="240" w:lineRule="auto"/>
        <w:rPr>
          <w:szCs w:val="24"/>
          <w:lang w:val="en-US"/>
        </w:rPr>
      </w:pPr>
      <w:r w:rsidRPr="00112DB6">
        <w:rPr>
          <w:rFonts w:eastAsia="AdvP7C2E" w:cs="Times New Roman"/>
          <w:color w:val="3A3535"/>
          <w:szCs w:val="24"/>
          <w:lang w:val="en-US"/>
        </w:rPr>
        <w:t xml:space="preserve">Deaths from the </w:t>
      </w:r>
      <w:r w:rsidRPr="00112DB6">
        <w:rPr>
          <w:rFonts w:cs="Times New Roman"/>
          <w:szCs w:val="24"/>
          <w:lang w:val="en-US"/>
        </w:rPr>
        <w:t>Netherlands: Northern registry were rounded to 0 or 5 due to small number restrictions and therefore were not included in the numbers of live births and deaths but were included in the survival estimates.</w:t>
      </w:r>
    </w:p>
    <w:p w14:paraId="0BF9178C" w14:textId="77777777" w:rsidR="0064507B" w:rsidRPr="00112DB6" w:rsidRDefault="0064507B" w:rsidP="009E51EE">
      <w:pPr>
        <w:pStyle w:val="Heading1"/>
        <w:rPr>
          <w:rFonts w:cs="Times New Roman"/>
          <w:szCs w:val="24"/>
          <w:lang w:val="en-US"/>
        </w:rPr>
        <w:sectPr w:rsidR="0064507B" w:rsidRPr="00112DB6" w:rsidSect="009E51EE">
          <w:pgSz w:w="16838" w:h="11906" w:orient="landscape"/>
          <w:pgMar w:top="1418" w:right="1134" w:bottom="1418" w:left="1418" w:header="709" w:footer="709" w:gutter="0"/>
          <w:cols w:space="708"/>
          <w:docGrid w:linePitch="360"/>
        </w:sectPr>
      </w:pPr>
      <w:bookmarkStart w:id="22" w:name="_Hlk73093844"/>
      <w:bookmarkStart w:id="23" w:name="_Hlk69741495"/>
    </w:p>
    <w:p w14:paraId="6E0900B7" w14:textId="77777777" w:rsidR="0064507B" w:rsidRPr="00112DB6" w:rsidRDefault="0064507B" w:rsidP="009E51EE">
      <w:pPr>
        <w:pStyle w:val="Heading1"/>
        <w:rPr>
          <w:rFonts w:cs="Times New Roman"/>
          <w:szCs w:val="24"/>
          <w:lang w:val="en-US"/>
        </w:rPr>
      </w:pPr>
      <w:r w:rsidRPr="00112DB6">
        <w:rPr>
          <w:rFonts w:cs="Times New Roman"/>
          <w:szCs w:val="24"/>
          <w:lang w:val="en-US"/>
        </w:rPr>
        <w:lastRenderedPageBreak/>
        <w:t xml:space="preserve">TABLE 3 </w:t>
      </w:r>
      <w:r w:rsidRPr="00112DB6">
        <w:rPr>
          <w:rFonts w:cs="Times New Roman"/>
          <w:b w:val="0"/>
          <w:bCs/>
          <w:szCs w:val="24"/>
          <w:lang w:val="en-US"/>
        </w:rPr>
        <w:t>Pooled survival estimates at 10 years of age for all children with the specified structural congenital anomalies (CAs)</w:t>
      </w:r>
      <w:r w:rsidRPr="00112DB6">
        <w:rPr>
          <w:rFonts w:cs="Times New Roman"/>
          <w:b w:val="0"/>
          <w:bCs/>
          <w:color w:val="231F20"/>
          <w:szCs w:val="24"/>
          <w:lang w:val="en-US"/>
        </w:rPr>
        <w:t xml:space="preserve"> (‘All’ group) and </w:t>
      </w:r>
      <w:bookmarkStart w:id="24" w:name="_Hlk84595998"/>
      <w:r w:rsidRPr="00112DB6">
        <w:rPr>
          <w:rFonts w:cs="Times New Roman"/>
          <w:b w:val="0"/>
          <w:bCs/>
          <w:color w:val="231F20"/>
          <w:szCs w:val="24"/>
          <w:lang w:val="en-US"/>
        </w:rPr>
        <w:t>the proportion of children with isolated CAs in all live births and all deaths with the specified CAs</w:t>
      </w:r>
      <w:bookmarkEnd w:id="24"/>
      <w:r w:rsidRPr="00112DB6">
        <w:rPr>
          <w:rFonts w:cs="Times New Roman"/>
          <w:b w:val="0"/>
          <w:bCs/>
          <w:szCs w:val="24"/>
          <w:lang w:val="en-US"/>
        </w:rPr>
        <w:t>: 13 EUROCAT registries in nine Western European countries, 2005-2014</w:t>
      </w:r>
    </w:p>
    <w:tbl>
      <w:tblPr>
        <w:tblStyle w:val="TableGrid"/>
        <w:tblW w:w="136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44"/>
        <w:gridCol w:w="1559"/>
        <w:gridCol w:w="1276"/>
        <w:gridCol w:w="2693"/>
        <w:gridCol w:w="2268"/>
        <w:gridCol w:w="2268"/>
      </w:tblGrid>
      <w:tr w:rsidR="0064507B" w:rsidRPr="00112DB6" w14:paraId="63B9CF9F" w14:textId="77777777" w:rsidTr="009E51EE">
        <w:trPr>
          <w:tblHeader/>
        </w:trPr>
        <w:tc>
          <w:tcPr>
            <w:tcW w:w="3544" w:type="dxa"/>
            <w:tcBorders>
              <w:top w:val="single" w:sz="4" w:space="0" w:color="auto"/>
              <w:bottom w:val="single" w:sz="4" w:space="0" w:color="auto"/>
            </w:tcBorders>
          </w:tcPr>
          <w:p w14:paraId="6A6D68C9" w14:textId="77777777" w:rsidR="0064507B" w:rsidRPr="00112DB6" w:rsidRDefault="0064507B" w:rsidP="009E51EE">
            <w:pPr>
              <w:spacing w:before="0" w:after="0" w:line="240" w:lineRule="auto"/>
              <w:rPr>
                <w:rFonts w:cs="Times New Roman"/>
                <w:b/>
                <w:bCs/>
                <w:sz w:val="22"/>
                <w:lang w:val="en-US"/>
              </w:rPr>
            </w:pPr>
            <w:r w:rsidRPr="00112DB6">
              <w:rPr>
                <w:rFonts w:cs="Times New Roman"/>
                <w:b/>
                <w:bCs/>
                <w:sz w:val="22"/>
                <w:lang w:val="en-US"/>
              </w:rPr>
              <w:t>Congenital anomaly groups and subgroups</w:t>
            </w:r>
          </w:p>
        </w:tc>
        <w:tc>
          <w:tcPr>
            <w:tcW w:w="1559" w:type="dxa"/>
            <w:tcBorders>
              <w:top w:val="single" w:sz="4" w:space="0" w:color="auto"/>
              <w:bottom w:val="single" w:sz="4" w:space="0" w:color="auto"/>
            </w:tcBorders>
          </w:tcPr>
          <w:p w14:paraId="0259CE0D"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 w:val="22"/>
                <w:lang w:val="en-US"/>
              </w:rPr>
              <w:t xml:space="preserve">No. of all live births </w:t>
            </w:r>
          </w:p>
        </w:tc>
        <w:tc>
          <w:tcPr>
            <w:tcW w:w="1276" w:type="dxa"/>
            <w:tcBorders>
              <w:top w:val="single" w:sz="4" w:space="0" w:color="auto"/>
              <w:bottom w:val="single" w:sz="4" w:space="0" w:color="auto"/>
            </w:tcBorders>
          </w:tcPr>
          <w:p w14:paraId="4A4272D5"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 w:val="22"/>
                <w:lang w:val="en-US"/>
              </w:rPr>
              <w:t>No. of all deaths up to 10 years</w:t>
            </w:r>
          </w:p>
        </w:tc>
        <w:tc>
          <w:tcPr>
            <w:tcW w:w="2693" w:type="dxa"/>
            <w:tcBorders>
              <w:top w:val="single" w:sz="4" w:space="0" w:color="auto"/>
              <w:bottom w:val="single" w:sz="4" w:space="0" w:color="auto"/>
            </w:tcBorders>
          </w:tcPr>
          <w:p w14:paraId="723C325D"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Cs w:val="24"/>
                <w:lang w:val="en-US"/>
              </w:rPr>
              <w:t>Survival estimates at 10 years of age % (95% CI)</w:t>
            </w:r>
          </w:p>
        </w:tc>
        <w:tc>
          <w:tcPr>
            <w:tcW w:w="4536" w:type="dxa"/>
            <w:gridSpan w:val="2"/>
            <w:tcBorders>
              <w:top w:val="single" w:sz="4" w:space="0" w:color="auto"/>
              <w:bottom w:val="single" w:sz="4" w:space="0" w:color="auto"/>
            </w:tcBorders>
          </w:tcPr>
          <w:p w14:paraId="0A651A97"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 w:val="22"/>
                <w:lang w:val="en-US"/>
              </w:rPr>
              <w:t xml:space="preserve">Proportion of children with </w:t>
            </w:r>
            <w:proofErr w:type="spellStart"/>
            <w:r w:rsidRPr="00112DB6">
              <w:rPr>
                <w:rFonts w:cs="Times New Roman"/>
                <w:b/>
                <w:bCs/>
                <w:sz w:val="22"/>
                <w:lang w:val="en-US"/>
              </w:rPr>
              <w:t>isolated</w:t>
            </w:r>
            <w:r w:rsidRPr="00112DB6">
              <w:rPr>
                <w:rFonts w:cs="Times New Roman"/>
                <w:b/>
                <w:bCs/>
                <w:sz w:val="22"/>
                <w:vertAlign w:val="superscript"/>
                <w:lang w:val="en-US"/>
              </w:rPr>
              <w:t>a</w:t>
            </w:r>
            <w:proofErr w:type="spellEnd"/>
            <w:r w:rsidRPr="00112DB6">
              <w:rPr>
                <w:rFonts w:cs="Times New Roman"/>
                <w:b/>
                <w:bCs/>
                <w:sz w:val="22"/>
                <w:lang w:val="en-US"/>
              </w:rPr>
              <w:t xml:space="preserve"> CAs (%) within the ‘All’ group with specified CAs</w:t>
            </w:r>
          </w:p>
        </w:tc>
      </w:tr>
      <w:tr w:rsidR="0064507B" w:rsidRPr="00112DB6" w14:paraId="6DC2B99A" w14:textId="77777777" w:rsidTr="009E51EE">
        <w:trPr>
          <w:tblHeader/>
        </w:trPr>
        <w:tc>
          <w:tcPr>
            <w:tcW w:w="3544" w:type="dxa"/>
            <w:tcBorders>
              <w:top w:val="single" w:sz="4" w:space="0" w:color="auto"/>
              <w:bottom w:val="single" w:sz="4" w:space="0" w:color="auto"/>
            </w:tcBorders>
          </w:tcPr>
          <w:p w14:paraId="6A5EEC83" w14:textId="77777777" w:rsidR="0064507B" w:rsidRPr="00112DB6" w:rsidRDefault="0064507B" w:rsidP="009E51EE">
            <w:pPr>
              <w:spacing w:before="0" w:after="0" w:line="240" w:lineRule="auto"/>
              <w:rPr>
                <w:rFonts w:cs="Times New Roman"/>
                <w:b/>
                <w:bCs/>
                <w:sz w:val="22"/>
                <w:lang w:val="en-US"/>
              </w:rPr>
            </w:pPr>
          </w:p>
        </w:tc>
        <w:tc>
          <w:tcPr>
            <w:tcW w:w="1559" w:type="dxa"/>
            <w:tcBorders>
              <w:top w:val="single" w:sz="4" w:space="0" w:color="auto"/>
              <w:bottom w:val="single" w:sz="4" w:space="0" w:color="auto"/>
            </w:tcBorders>
          </w:tcPr>
          <w:p w14:paraId="56A4510E" w14:textId="77777777" w:rsidR="0064507B" w:rsidRPr="00112DB6" w:rsidRDefault="0064507B" w:rsidP="009E51EE">
            <w:pPr>
              <w:spacing w:before="0" w:after="0" w:line="240" w:lineRule="auto"/>
              <w:jc w:val="center"/>
              <w:rPr>
                <w:rFonts w:cs="Times New Roman"/>
                <w:b/>
                <w:bCs/>
                <w:sz w:val="22"/>
                <w:lang w:val="en-US"/>
              </w:rPr>
            </w:pPr>
          </w:p>
        </w:tc>
        <w:tc>
          <w:tcPr>
            <w:tcW w:w="1276" w:type="dxa"/>
            <w:tcBorders>
              <w:top w:val="single" w:sz="4" w:space="0" w:color="auto"/>
              <w:bottom w:val="single" w:sz="4" w:space="0" w:color="auto"/>
            </w:tcBorders>
          </w:tcPr>
          <w:p w14:paraId="78C65C66" w14:textId="77777777" w:rsidR="0064507B" w:rsidRPr="00112DB6" w:rsidRDefault="0064507B" w:rsidP="009E51EE">
            <w:pPr>
              <w:spacing w:before="0" w:after="0" w:line="240" w:lineRule="auto"/>
              <w:jc w:val="center"/>
              <w:rPr>
                <w:rFonts w:cs="Times New Roman"/>
                <w:b/>
                <w:bCs/>
                <w:sz w:val="22"/>
                <w:lang w:val="en-US"/>
              </w:rPr>
            </w:pPr>
          </w:p>
        </w:tc>
        <w:tc>
          <w:tcPr>
            <w:tcW w:w="2693" w:type="dxa"/>
            <w:tcBorders>
              <w:top w:val="single" w:sz="4" w:space="0" w:color="auto"/>
              <w:bottom w:val="single" w:sz="4" w:space="0" w:color="auto"/>
            </w:tcBorders>
          </w:tcPr>
          <w:p w14:paraId="6CD3BED8" w14:textId="77777777" w:rsidR="0064507B" w:rsidRPr="00112DB6" w:rsidRDefault="0064507B" w:rsidP="009E51EE">
            <w:pPr>
              <w:spacing w:before="0" w:after="0" w:line="240" w:lineRule="auto"/>
              <w:jc w:val="center"/>
              <w:rPr>
                <w:rFonts w:cs="Times New Roman"/>
                <w:b/>
                <w:bCs/>
                <w:szCs w:val="24"/>
                <w:lang w:val="en-US"/>
              </w:rPr>
            </w:pPr>
          </w:p>
        </w:tc>
        <w:tc>
          <w:tcPr>
            <w:tcW w:w="2268" w:type="dxa"/>
            <w:tcBorders>
              <w:top w:val="single" w:sz="4" w:space="0" w:color="auto"/>
              <w:bottom w:val="single" w:sz="4" w:space="0" w:color="auto"/>
            </w:tcBorders>
          </w:tcPr>
          <w:p w14:paraId="124D662C"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 w:val="22"/>
                <w:lang w:val="en-US"/>
              </w:rPr>
              <w:t>Live births</w:t>
            </w:r>
          </w:p>
        </w:tc>
        <w:tc>
          <w:tcPr>
            <w:tcW w:w="2268" w:type="dxa"/>
            <w:tcBorders>
              <w:top w:val="single" w:sz="4" w:space="0" w:color="auto"/>
              <w:bottom w:val="single" w:sz="4" w:space="0" w:color="auto"/>
            </w:tcBorders>
          </w:tcPr>
          <w:p w14:paraId="3E5569A5" w14:textId="77777777" w:rsidR="0064507B" w:rsidRPr="00112DB6" w:rsidRDefault="0064507B" w:rsidP="009E51EE">
            <w:pPr>
              <w:spacing w:before="0" w:after="0" w:line="240" w:lineRule="auto"/>
              <w:jc w:val="center"/>
              <w:rPr>
                <w:rFonts w:cs="Times New Roman"/>
                <w:b/>
                <w:bCs/>
                <w:sz w:val="22"/>
                <w:lang w:val="en-US"/>
              </w:rPr>
            </w:pPr>
            <w:r w:rsidRPr="00112DB6">
              <w:rPr>
                <w:rFonts w:cs="Times New Roman"/>
                <w:b/>
                <w:bCs/>
                <w:sz w:val="22"/>
                <w:lang w:val="en-US"/>
              </w:rPr>
              <w:t>Deaths</w:t>
            </w:r>
          </w:p>
        </w:tc>
      </w:tr>
      <w:tr w:rsidR="0064507B" w:rsidRPr="00112DB6" w14:paraId="4E4828EA" w14:textId="77777777" w:rsidTr="009E51EE">
        <w:tc>
          <w:tcPr>
            <w:tcW w:w="3544" w:type="dxa"/>
            <w:tcBorders>
              <w:top w:val="single" w:sz="4" w:space="0" w:color="auto"/>
            </w:tcBorders>
            <w:vAlign w:val="bottom"/>
          </w:tcPr>
          <w:p w14:paraId="625740E7" w14:textId="77777777" w:rsidR="0064507B" w:rsidRPr="00112DB6" w:rsidRDefault="0064507B" w:rsidP="009E51EE">
            <w:pPr>
              <w:spacing w:before="0" w:after="0" w:line="360" w:lineRule="auto"/>
              <w:rPr>
                <w:rFonts w:cs="Times New Roman"/>
                <w:sz w:val="22"/>
                <w:lang w:val="en-US"/>
              </w:rPr>
            </w:pPr>
            <w:r w:rsidRPr="00112DB6">
              <w:rPr>
                <w:rFonts w:cs="Times New Roman"/>
                <w:b/>
                <w:bCs/>
                <w:sz w:val="22"/>
                <w:lang w:val="en-US"/>
              </w:rPr>
              <w:t>Any anomaly</w:t>
            </w:r>
          </w:p>
        </w:tc>
        <w:tc>
          <w:tcPr>
            <w:tcW w:w="1559" w:type="dxa"/>
            <w:tcBorders>
              <w:top w:val="single" w:sz="4" w:space="0" w:color="auto"/>
            </w:tcBorders>
            <w:vAlign w:val="bottom"/>
          </w:tcPr>
          <w:p w14:paraId="4861D6C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96 263</w:t>
            </w:r>
          </w:p>
        </w:tc>
        <w:tc>
          <w:tcPr>
            <w:tcW w:w="1276" w:type="dxa"/>
            <w:tcBorders>
              <w:top w:val="single" w:sz="4" w:space="0" w:color="auto"/>
            </w:tcBorders>
            <w:vAlign w:val="bottom"/>
          </w:tcPr>
          <w:p w14:paraId="6C79699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4214</w:t>
            </w:r>
          </w:p>
        </w:tc>
        <w:tc>
          <w:tcPr>
            <w:tcW w:w="2693" w:type="dxa"/>
            <w:tcBorders>
              <w:top w:val="single" w:sz="4" w:space="0" w:color="auto"/>
            </w:tcBorders>
            <w:vAlign w:val="bottom"/>
          </w:tcPr>
          <w:p w14:paraId="08D54CE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94.8 (93.7-95.9)</w:t>
            </w:r>
          </w:p>
        </w:tc>
        <w:tc>
          <w:tcPr>
            <w:tcW w:w="2268" w:type="dxa"/>
            <w:tcBorders>
              <w:top w:val="single" w:sz="4" w:space="0" w:color="auto"/>
            </w:tcBorders>
            <w:vAlign w:val="bottom"/>
          </w:tcPr>
          <w:p w14:paraId="79F5166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80.0</w:t>
            </w:r>
          </w:p>
        </w:tc>
        <w:tc>
          <w:tcPr>
            <w:tcW w:w="2268" w:type="dxa"/>
            <w:tcBorders>
              <w:top w:val="single" w:sz="4" w:space="0" w:color="auto"/>
            </w:tcBorders>
            <w:vAlign w:val="bottom"/>
          </w:tcPr>
          <w:p w14:paraId="4A698CB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47.5</w:t>
            </w:r>
          </w:p>
        </w:tc>
      </w:tr>
      <w:tr w:rsidR="0064507B" w:rsidRPr="00112DB6" w14:paraId="0F1F0721" w14:textId="77777777" w:rsidTr="009E51EE">
        <w:tc>
          <w:tcPr>
            <w:tcW w:w="3544" w:type="dxa"/>
            <w:tcBorders>
              <w:top w:val="single" w:sz="4" w:space="0" w:color="auto"/>
            </w:tcBorders>
            <w:vAlign w:val="bottom"/>
          </w:tcPr>
          <w:p w14:paraId="41566A15"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Nervous System</w:t>
            </w:r>
          </w:p>
        </w:tc>
        <w:tc>
          <w:tcPr>
            <w:tcW w:w="1559" w:type="dxa"/>
            <w:tcBorders>
              <w:top w:val="single" w:sz="4" w:space="0" w:color="auto"/>
            </w:tcBorders>
            <w:vAlign w:val="bottom"/>
          </w:tcPr>
          <w:p w14:paraId="2B306FA3"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tcBorders>
          </w:tcPr>
          <w:p w14:paraId="7C37890B"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tcBorders>
            <w:vAlign w:val="bottom"/>
          </w:tcPr>
          <w:p w14:paraId="79915A1D"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tcBorders>
            <w:vAlign w:val="bottom"/>
          </w:tcPr>
          <w:p w14:paraId="583AF2C2"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tcBorders>
          </w:tcPr>
          <w:p w14:paraId="687FEFCA"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2FCF18A1" w14:textId="77777777" w:rsidTr="009E51EE">
        <w:tc>
          <w:tcPr>
            <w:tcW w:w="3544" w:type="dxa"/>
            <w:vAlign w:val="bottom"/>
          </w:tcPr>
          <w:p w14:paraId="3461424C"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Spina</w:t>
            </w:r>
            <w:proofErr w:type="spellEnd"/>
            <w:r w:rsidRPr="00112DB6">
              <w:rPr>
                <w:rFonts w:cs="Times New Roman"/>
                <w:sz w:val="20"/>
                <w:szCs w:val="20"/>
                <w:lang w:val="en-US"/>
              </w:rPr>
              <w:t xml:space="preserve"> bifida</w:t>
            </w:r>
          </w:p>
        </w:tc>
        <w:tc>
          <w:tcPr>
            <w:tcW w:w="1559" w:type="dxa"/>
            <w:vAlign w:val="bottom"/>
          </w:tcPr>
          <w:p w14:paraId="1239382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576</w:t>
            </w:r>
          </w:p>
        </w:tc>
        <w:tc>
          <w:tcPr>
            <w:tcW w:w="1276" w:type="dxa"/>
            <w:vAlign w:val="bottom"/>
          </w:tcPr>
          <w:p w14:paraId="382AE74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39</w:t>
            </w:r>
          </w:p>
        </w:tc>
        <w:tc>
          <w:tcPr>
            <w:tcW w:w="2693" w:type="dxa"/>
            <w:vAlign w:val="bottom"/>
          </w:tcPr>
          <w:p w14:paraId="60F7B62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93.5 (90.7-96.3)</w:t>
            </w:r>
          </w:p>
        </w:tc>
        <w:tc>
          <w:tcPr>
            <w:tcW w:w="2268" w:type="dxa"/>
            <w:vAlign w:val="bottom"/>
          </w:tcPr>
          <w:p w14:paraId="1A14FAA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64.2</w:t>
            </w:r>
          </w:p>
        </w:tc>
        <w:tc>
          <w:tcPr>
            <w:tcW w:w="2268" w:type="dxa"/>
            <w:vAlign w:val="bottom"/>
          </w:tcPr>
          <w:p w14:paraId="31E16AE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30.8</w:t>
            </w:r>
          </w:p>
        </w:tc>
      </w:tr>
      <w:tr w:rsidR="0064507B" w:rsidRPr="00112DB6" w14:paraId="6537D4A3" w14:textId="77777777" w:rsidTr="009E51EE">
        <w:tc>
          <w:tcPr>
            <w:tcW w:w="3544" w:type="dxa"/>
            <w:vAlign w:val="bottom"/>
          </w:tcPr>
          <w:p w14:paraId="36F0A3DE"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 xml:space="preserve">Congenital hydrocephalus (excluding </w:t>
            </w:r>
            <w:proofErr w:type="spellStart"/>
            <w:r w:rsidRPr="00112DB6">
              <w:rPr>
                <w:rFonts w:cs="Times New Roman"/>
                <w:sz w:val="20"/>
                <w:szCs w:val="20"/>
                <w:lang w:val="en-US"/>
              </w:rPr>
              <w:t>spina</w:t>
            </w:r>
            <w:proofErr w:type="spellEnd"/>
            <w:r w:rsidRPr="00112DB6">
              <w:rPr>
                <w:rFonts w:cs="Times New Roman"/>
                <w:sz w:val="20"/>
                <w:szCs w:val="20"/>
                <w:lang w:val="en-US"/>
              </w:rPr>
              <w:t xml:space="preserve"> bifida)</w:t>
            </w:r>
          </w:p>
        </w:tc>
        <w:tc>
          <w:tcPr>
            <w:tcW w:w="1559" w:type="dxa"/>
            <w:vAlign w:val="bottom"/>
          </w:tcPr>
          <w:p w14:paraId="48CB4B2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1269</w:t>
            </w:r>
          </w:p>
        </w:tc>
        <w:tc>
          <w:tcPr>
            <w:tcW w:w="1276" w:type="dxa"/>
            <w:vAlign w:val="bottom"/>
          </w:tcPr>
          <w:p w14:paraId="3A0EBFE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159</w:t>
            </w:r>
          </w:p>
        </w:tc>
        <w:tc>
          <w:tcPr>
            <w:tcW w:w="2693" w:type="dxa"/>
            <w:vAlign w:val="bottom"/>
          </w:tcPr>
          <w:p w14:paraId="62E5E01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86.9 (81.7-92.3)</w:t>
            </w:r>
          </w:p>
        </w:tc>
        <w:tc>
          <w:tcPr>
            <w:tcW w:w="2268" w:type="dxa"/>
            <w:vAlign w:val="bottom"/>
          </w:tcPr>
          <w:p w14:paraId="27D3531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60.4</w:t>
            </w:r>
          </w:p>
        </w:tc>
        <w:tc>
          <w:tcPr>
            <w:tcW w:w="2268" w:type="dxa"/>
            <w:vAlign w:val="bottom"/>
          </w:tcPr>
          <w:p w14:paraId="71264BD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37.1</w:t>
            </w:r>
          </w:p>
        </w:tc>
      </w:tr>
      <w:tr w:rsidR="0064507B" w:rsidRPr="00112DB6" w14:paraId="54F3DFD4" w14:textId="77777777" w:rsidTr="009E51EE">
        <w:tc>
          <w:tcPr>
            <w:tcW w:w="3544" w:type="dxa"/>
            <w:vAlign w:val="bottom"/>
          </w:tcPr>
          <w:p w14:paraId="29E55C24"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 xml:space="preserve">Severe </w:t>
            </w:r>
            <w:proofErr w:type="spellStart"/>
            <w:r w:rsidRPr="00112DB6">
              <w:rPr>
                <w:rFonts w:cs="Times New Roman"/>
                <w:sz w:val="20"/>
                <w:szCs w:val="20"/>
                <w:lang w:val="en-US"/>
              </w:rPr>
              <w:t>microcephaly</w:t>
            </w:r>
            <w:r w:rsidRPr="00112DB6">
              <w:rPr>
                <w:rFonts w:cs="Times New Roman"/>
                <w:vertAlign w:val="superscript"/>
                <w:lang w:val="en-US"/>
              </w:rPr>
              <w:t>b</w:t>
            </w:r>
            <w:proofErr w:type="spellEnd"/>
          </w:p>
        </w:tc>
        <w:tc>
          <w:tcPr>
            <w:tcW w:w="1559" w:type="dxa"/>
            <w:vAlign w:val="bottom"/>
          </w:tcPr>
          <w:p w14:paraId="5F0C8C4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798</w:t>
            </w:r>
          </w:p>
        </w:tc>
        <w:tc>
          <w:tcPr>
            <w:tcW w:w="1276" w:type="dxa"/>
            <w:vAlign w:val="bottom"/>
          </w:tcPr>
          <w:p w14:paraId="7F6E1FE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102</w:t>
            </w:r>
          </w:p>
        </w:tc>
        <w:tc>
          <w:tcPr>
            <w:tcW w:w="2693" w:type="dxa"/>
            <w:vAlign w:val="bottom"/>
          </w:tcPr>
          <w:p w14:paraId="3ECC111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85.0 (80.2-90.2)</w:t>
            </w:r>
          </w:p>
        </w:tc>
        <w:tc>
          <w:tcPr>
            <w:tcW w:w="2268" w:type="dxa"/>
            <w:vAlign w:val="bottom"/>
          </w:tcPr>
          <w:p w14:paraId="35B9074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45.2</w:t>
            </w:r>
          </w:p>
        </w:tc>
        <w:tc>
          <w:tcPr>
            <w:tcW w:w="2268" w:type="dxa"/>
            <w:vAlign w:val="bottom"/>
          </w:tcPr>
          <w:p w14:paraId="16584FA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18.6</w:t>
            </w:r>
          </w:p>
        </w:tc>
      </w:tr>
      <w:tr w:rsidR="0064507B" w:rsidRPr="00112DB6" w14:paraId="41AF9778" w14:textId="77777777" w:rsidTr="009E51EE">
        <w:tc>
          <w:tcPr>
            <w:tcW w:w="3544" w:type="dxa"/>
            <w:tcBorders>
              <w:bottom w:val="single" w:sz="4" w:space="0" w:color="auto"/>
            </w:tcBorders>
            <w:vAlign w:val="bottom"/>
          </w:tcPr>
          <w:p w14:paraId="2ADEAA06"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Eye</w:t>
            </w:r>
          </w:p>
        </w:tc>
        <w:tc>
          <w:tcPr>
            <w:tcW w:w="1559" w:type="dxa"/>
            <w:tcBorders>
              <w:bottom w:val="single" w:sz="4" w:space="0" w:color="auto"/>
            </w:tcBorders>
            <w:vAlign w:val="bottom"/>
          </w:tcPr>
          <w:p w14:paraId="3B2D7222"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bottom w:val="single" w:sz="4" w:space="0" w:color="auto"/>
            </w:tcBorders>
          </w:tcPr>
          <w:p w14:paraId="598066E7"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bottom w:val="single" w:sz="4" w:space="0" w:color="auto"/>
            </w:tcBorders>
          </w:tcPr>
          <w:p w14:paraId="2DF8A2FB"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bottom w:val="single" w:sz="4" w:space="0" w:color="auto"/>
            </w:tcBorders>
          </w:tcPr>
          <w:p w14:paraId="369142B6"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bottom w:val="single" w:sz="4" w:space="0" w:color="auto"/>
            </w:tcBorders>
          </w:tcPr>
          <w:p w14:paraId="7DB91D8D"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661C661C" w14:textId="77777777" w:rsidTr="009E51EE">
        <w:tc>
          <w:tcPr>
            <w:tcW w:w="3544" w:type="dxa"/>
            <w:tcBorders>
              <w:top w:val="single" w:sz="4" w:space="0" w:color="auto"/>
              <w:bottom w:val="single" w:sz="4" w:space="0" w:color="auto"/>
            </w:tcBorders>
            <w:vAlign w:val="bottom"/>
          </w:tcPr>
          <w:p w14:paraId="0852AA24"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Congenital cataract</w:t>
            </w:r>
          </w:p>
        </w:tc>
        <w:tc>
          <w:tcPr>
            <w:tcW w:w="1559" w:type="dxa"/>
            <w:tcBorders>
              <w:top w:val="single" w:sz="4" w:space="0" w:color="auto"/>
              <w:bottom w:val="single" w:sz="4" w:space="0" w:color="auto"/>
            </w:tcBorders>
            <w:vAlign w:val="bottom"/>
          </w:tcPr>
          <w:p w14:paraId="6655EED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691</w:t>
            </w:r>
          </w:p>
        </w:tc>
        <w:tc>
          <w:tcPr>
            <w:tcW w:w="1276" w:type="dxa"/>
            <w:tcBorders>
              <w:top w:val="single" w:sz="4" w:space="0" w:color="auto"/>
              <w:bottom w:val="single" w:sz="4" w:space="0" w:color="auto"/>
            </w:tcBorders>
            <w:vAlign w:val="bottom"/>
          </w:tcPr>
          <w:p w14:paraId="09B9483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37</w:t>
            </w:r>
          </w:p>
        </w:tc>
        <w:tc>
          <w:tcPr>
            <w:tcW w:w="2693" w:type="dxa"/>
            <w:tcBorders>
              <w:top w:val="single" w:sz="4" w:space="0" w:color="auto"/>
              <w:bottom w:val="single" w:sz="4" w:space="0" w:color="auto"/>
            </w:tcBorders>
            <w:vAlign w:val="bottom"/>
          </w:tcPr>
          <w:p w14:paraId="241414B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94.6 (91.8-97.5)</w:t>
            </w:r>
          </w:p>
        </w:tc>
        <w:tc>
          <w:tcPr>
            <w:tcW w:w="2268" w:type="dxa"/>
            <w:tcBorders>
              <w:top w:val="single" w:sz="4" w:space="0" w:color="auto"/>
              <w:bottom w:val="single" w:sz="4" w:space="0" w:color="auto"/>
            </w:tcBorders>
            <w:vAlign w:val="bottom"/>
          </w:tcPr>
          <w:p w14:paraId="316C575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81.0</w:t>
            </w:r>
          </w:p>
        </w:tc>
        <w:tc>
          <w:tcPr>
            <w:tcW w:w="2268" w:type="dxa"/>
            <w:tcBorders>
              <w:top w:val="single" w:sz="4" w:space="0" w:color="auto"/>
              <w:bottom w:val="single" w:sz="4" w:space="0" w:color="auto"/>
            </w:tcBorders>
            <w:vAlign w:val="bottom"/>
          </w:tcPr>
          <w:p w14:paraId="245EDBA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10.8</w:t>
            </w:r>
          </w:p>
        </w:tc>
      </w:tr>
      <w:tr w:rsidR="0064507B" w:rsidRPr="00112DB6" w14:paraId="57E0FA71" w14:textId="77777777" w:rsidTr="009E51EE">
        <w:tc>
          <w:tcPr>
            <w:tcW w:w="3544" w:type="dxa"/>
            <w:tcBorders>
              <w:top w:val="single" w:sz="4" w:space="0" w:color="auto"/>
              <w:bottom w:val="single" w:sz="4" w:space="0" w:color="auto"/>
            </w:tcBorders>
            <w:vAlign w:val="bottom"/>
          </w:tcPr>
          <w:p w14:paraId="6A8629F8"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Congenital Heart Defects (CHD)</w:t>
            </w:r>
          </w:p>
        </w:tc>
        <w:tc>
          <w:tcPr>
            <w:tcW w:w="1559" w:type="dxa"/>
            <w:tcBorders>
              <w:top w:val="single" w:sz="4" w:space="0" w:color="auto"/>
              <w:bottom w:val="single" w:sz="4" w:space="0" w:color="auto"/>
            </w:tcBorders>
            <w:vAlign w:val="bottom"/>
          </w:tcPr>
          <w:p w14:paraId="3804FB37"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32264AF1"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vAlign w:val="bottom"/>
          </w:tcPr>
          <w:p w14:paraId="0215D0DA"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vAlign w:val="bottom"/>
          </w:tcPr>
          <w:p w14:paraId="19F9F1BF"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24BBE8DC" w14:textId="77777777" w:rsidR="0064507B" w:rsidRPr="00112DB6" w:rsidRDefault="0064507B" w:rsidP="009E51EE">
            <w:pPr>
              <w:spacing w:before="0" w:after="0" w:line="360" w:lineRule="auto"/>
              <w:jc w:val="center"/>
              <w:rPr>
                <w:rFonts w:cs="Times New Roman"/>
                <w:sz w:val="20"/>
                <w:szCs w:val="20"/>
                <w:lang w:val="en-US"/>
              </w:rPr>
            </w:pPr>
          </w:p>
        </w:tc>
      </w:tr>
      <w:bookmarkEnd w:id="22"/>
      <w:tr w:rsidR="0064507B" w:rsidRPr="00112DB6" w14:paraId="1D3504DC" w14:textId="77777777" w:rsidTr="009E51EE">
        <w:tc>
          <w:tcPr>
            <w:tcW w:w="3544" w:type="dxa"/>
            <w:tcBorders>
              <w:top w:val="single" w:sz="4" w:space="0" w:color="auto"/>
              <w:bottom w:val="single" w:sz="4" w:space="0" w:color="auto"/>
            </w:tcBorders>
            <w:vAlign w:val="bottom"/>
          </w:tcPr>
          <w:p w14:paraId="6CF49591"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All CHD</w:t>
            </w:r>
          </w:p>
        </w:tc>
        <w:tc>
          <w:tcPr>
            <w:tcW w:w="1559" w:type="dxa"/>
            <w:tcBorders>
              <w:top w:val="single" w:sz="4" w:space="0" w:color="auto"/>
              <w:bottom w:val="single" w:sz="4" w:space="0" w:color="auto"/>
            </w:tcBorders>
            <w:vAlign w:val="bottom"/>
          </w:tcPr>
          <w:p w14:paraId="7E1AD7A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34 874</w:t>
            </w:r>
          </w:p>
        </w:tc>
        <w:tc>
          <w:tcPr>
            <w:tcW w:w="1276" w:type="dxa"/>
            <w:tcBorders>
              <w:top w:val="single" w:sz="4" w:space="0" w:color="auto"/>
              <w:bottom w:val="single" w:sz="4" w:space="0" w:color="auto"/>
            </w:tcBorders>
            <w:vAlign w:val="bottom"/>
          </w:tcPr>
          <w:p w14:paraId="66D11FB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2062</w:t>
            </w:r>
          </w:p>
        </w:tc>
        <w:tc>
          <w:tcPr>
            <w:tcW w:w="2693" w:type="dxa"/>
            <w:tcBorders>
              <w:top w:val="single" w:sz="4" w:space="0" w:color="auto"/>
              <w:bottom w:val="single" w:sz="4" w:space="0" w:color="auto"/>
            </w:tcBorders>
            <w:vAlign w:val="bottom"/>
          </w:tcPr>
          <w:p w14:paraId="7FBB039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92.3 (90.2-94.5)</w:t>
            </w:r>
          </w:p>
        </w:tc>
        <w:tc>
          <w:tcPr>
            <w:tcW w:w="2268" w:type="dxa"/>
            <w:tcBorders>
              <w:top w:val="single" w:sz="4" w:space="0" w:color="auto"/>
              <w:bottom w:val="single" w:sz="4" w:space="0" w:color="auto"/>
            </w:tcBorders>
            <w:vAlign w:val="bottom"/>
          </w:tcPr>
          <w:p w14:paraId="44860D6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79.3</w:t>
            </w:r>
          </w:p>
        </w:tc>
        <w:tc>
          <w:tcPr>
            <w:tcW w:w="2268" w:type="dxa"/>
            <w:tcBorders>
              <w:top w:val="single" w:sz="4" w:space="0" w:color="auto"/>
              <w:bottom w:val="single" w:sz="4" w:space="0" w:color="auto"/>
            </w:tcBorders>
            <w:vAlign w:val="bottom"/>
          </w:tcPr>
          <w:p w14:paraId="65BCF5F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46.1</w:t>
            </w:r>
          </w:p>
        </w:tc>
      </w:tr>
      <w:tr w:rsidR="0064507B" w:rsidRPr="00112DB6" w14:paraId="0F3FA917" w14:textId="77777777" w:rsidTr="009E51EE">
        <w:tc>
          <w:tcPr>
            <w:tcW w:w="3544" w:type="dxa"/>
            <w:tcBorders>
              <w:top w:val="single" w:sz="4" w:space="0" w:color="auto"/>
              <w:bottom w:val="single" w:sz="4" w:space="0" w:color="auto"/>
            </w:tcBorders>
            <w:vAlign w:val="bottom"/>
          </w:tcPr>
          <w:p w14:paraId="160836A1"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 xml:space="preserve">Severe </w:t>
            </w:r>
            <w:proofErr w:type="spellStart"/>
            <w:r w:rsidRPr="00112DB6">
              <w:rPr>
                <w:rFonts w:cs="Times New Roman"/>
                <w:sz w:val="20"/>
                <w:szCs w:val="20"/>
                <w:lang w:val="en-US"/>
              </w:rPr>
              <w:t>CHD</w:t>
            </w:r>
            <w:r w:rsidRPr="00112DB6">
              <w:rPr>
                <w:rFonts w:cs="Times New Roman"/>
                <w:vertAlign w:val="superscript"/>
                <w:lang w:val="en-US"/>
              </w:rPr>
              <w:t>c</w:t>
            </w:r>
            <w:proofErr w:type="spellEnd"/>
          </w:p>
        </w:tc>
        <w:tc>
          <w:tcPr>
            <w:tcW w:w="1559" w:type="dxa"/>
            <w:tcBorders>
              <w:top w:val="single" w:sz="4" w:space="0" w:color="auto"/>
              <w:bottom w:val="single" w:sz="4" w:space="0" w:color="auto"/>
            </w:tcBorders>
            <w:vAlign w:val="bottom"/>
          </w:tcPr>
          <w:p w14:paraId="542475A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8204</w:t>
            </w:r>
          </w:p>
        </w:tc>
        <w:tc>
          <w:tcPr>
            <w:tcW w:w="1276" w:type="dxa"/>
            <w:tcBorders>
              <w:top w:val="single" w:sz="4" w:space="0" w:color="auto"/>
              <w:bottom w:val="single" w:sz="4" w:space="0" w:color="auto"/>
            </w:tcBorders>
            <w:vAlign w:val="bottom"/>
          </w:tcPr>
          <w:p w14:paraId="15C1BC1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1245</w:t>
            </w:r>
          </w:p>
        </w:tc>
        <w:tc>
          <w:tcPr>
            <w:tcW w:w="2693" w:type="dxa"/>
            <w:tcBorders>
              <w:top w:val="single" w:sz="4" w:space="0" w:color="auto"/>
              <w:bottom w:val="single" w:sz="4" w:space="0" w:color="auto"/>
            </w:tcBorders>
            <w:vAlign w:val="bottom"/>
          </w:tcPr>
          <w:p w14:paraId="4458A77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83.3 (80.8-85.8)</w:t>
            </w:r>
          </w:p>
        </w:tc>
        <w:tc>
          <w:tcPr>
            <w:tcW w:w="2268" w:type="dxa"/>
            <w:tcBorders>
              <w:top w:val="single" w:sz="4" w:space="0" w:color="auto"/>
              <w:bottom w:val="single" w:sz="4" w:space="0" w:color="auto"/>
            </w:tcBorders>
            <w:vAlign w:val="bottom"/>
          </w:tcPr>
          <w:p w14:paraId="181CC75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72.3</w:t>
            </w:r>
          </w:p>
        </w:tc>
        <w:tc>
          <w:tcPr>
            <w:tcW w:w="2268" w:type="dxa"/>
            <w:tcBorders>
              <w:top w:val="single" w:sz="4" w:space="0" w:color="auto"/>
              <w:bottom w:val="single" w:sz="4" w:space="0" w:color="auto"/>
            </w:tcBorders>
            <w:vAlign w:val="bottom"/>
          </w:tcPr>
          <w:p w14:paraId="2318F36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57.7</w:t>
            </w:r>
          </w:p>
        </w:tc>
      </w:tr>
      <w:tr w:rsidR="0064507B" w:rsidRPr="00112DB6" w14:paraId="0D16149D" w14:textId="77777777" w:rsidTr="009E51EE">
        <w:tc>
          <w:tcPr>
            <w:tcW w:w="3544" w:type="dxa"/>
            <w:tcBorders>
              <w:top w:val="single" w:sz="4" w:space="0" w:color="auto"/>
              <w:bottom w:val="single" w:sz="4" w:space="0" w:color="auto"/>
            </w:tcBorders>
            <w:vAlign w:val="bottom"/>
          </w:tcPr>
          <w:p w14:paraId="1846A0F0"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Transposition of great vessels</w:t>
            </w:r>
          </w:p>
        </w:tc>
        <w:tc>
          <w:tcPr>
            <w:tcW w:w="1559" w:type="dxa"/>
            <w:tcBorders>
              <w:top w:val="single" w:sz="4" w:space="0" w:color="auto"/>
              <w:bottom w:val="single" w:sz="4" w:space="0" w:color="auto"/>
            </w:tcBorders>
            <w:vAlign w:val="bottom"/>
          </w:tcPr>
          <w:p w14:paraId="6898D8E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1263</w:t>
            </w:r>
          </w:p>
        </w:tc>
        <w:tc>
          <w:tcPr>
            <w:tcW w:w="1276" w:type="dxa"/>
            <w:tcBorders>
              <w:top w:val="single" w:sz="4" w:space="0" w:color="auto"/>
              <w:bottom w:val="single" w:sz="4" w:space="0" w:color="auto"/>
            </w:tcBorders>
            <w:vAlign w:val="bottom"/>
          </w:tcPr>
          <w:p w14:paraId="4AC5D4D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140</w:t>
            </w:r>
          </w:p>
        </w:tc>
        <w:tc>
          <w:tcPr>
            <w:tcW w:w="2693" w:type="dxa"/>
            <w:tcBorders>
              <w:top w:val="single" w:sz="4" w:space="0" w:color="auto"/>
              <w:bottom w:val="single" w:sz="4" w:space="0" w:color="auto"/>
            </w:tcBorders>
            <w:vAlign w:val="bottom"/>
          </w:tcPr>
          <w:p w14:paraId="2283C59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89.9 (87.1-92.8)</w:t>
            </w:r>
          </w:p>
        </w:tc>
        <w:tc>
          <w:tcPr>
            <w:tcW w:w="2268" w:type="dxa"/>
            <w:tcBorders>
              <w:top w:val="single" w:sz="4" w:space="0" w:color="auto"/>
              <w:bottom w:val="single" w:sz="4" w:space="0" w:color="auto"/>
            </w:tcBorders>
            <w:vAlign w:val="bottom"/>
          </w:tcPr>
          <w:p w14:paraId="343F877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89.5</w:t>
            </w:r>
          </w:p>
        </w:tc>
        <w:tc>
          <w:tcPr>
            <w:tcW w:w="2268" w:type="dxa"/>
            <w:tcBorders>
              <w:top w:val="single" w:sz="4" w:space="0" w:color="auto"/>
              <w:bottom w:val="single" w:sz="4" w:space="0" w:color="auto"/>
            </w:tcBorders>
            <w:vAlign w:val="bottom"/>
          </w:tcPr>
          <w:p w14:paraId="043C019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77.1</w:t>
            </w:r>
          </w:p>
        </w:tc>
      </w:tr>
      <w:tr w:rsidR="0064507B" w:rsidRPr="00112DB6" w14:paraId="6612F77D" w14:textId="77777777" w:rsidTr="009E51EE">
        <w:tc>
          <w:tcPr>
            <w:tcW w:w="3544" w:type="dxa"/>
            <w:tcBorders>
              <w:top w:val="single" w:sz="4" w:space="0" w:color="auto"/>
              <w:bottom w:val="single" w:sz="4" w:space="0" w:color="auto"/>
            </w:tcBorders>
            <w:vAlign w:val="bottom"/>
          </w:tcPr>
          <w:p w14:paraId="23219032" w14:textId="77777777" w:rsidR="0064507B" w:rsidRPr="00112DB6" w:rsidRDefault="0064507B" w:rsidP="009E51EE">
            <w:pPr>
              <w:spacing w:before="0" w:after="0" w:line="360" w:lineRule="auto"/>
              <w:ind w:left="170"/>
              <w:rPr>
                <w:rFonts w:cs="Times New Roman"/>
                <w:sz w:val="20"/>
                <w:szCs w:val="20"/>
                <w:lang w:val="en-US"/>
              </w:rPr>
            </w:pPr>
            <w:r w:rsidRPr="00112DB6">
              <w:rPr>
                <w:rFonts w:eastAsiaTheme="minorHAnsi" w:cs="Times New Roman"/>
                <w:sz w:val="20"/>
                <w:szCs w:val="20"/>
                <w:lang w:val="en-US"/>
              </w:rPr>
              <w:t>Ventricular septal defect</w:t>
            </w:r>
          </w:p>
        </w:tc>
        <w:tc>
          <w:tcPr>
            <w:tcW w:w="1559" w:type="dxa"/>
            <w:tcBorders>
              <w:top w:val="single" w:sz="4" w:space="0" w:color="auto"/>
              <w:bottom w:val="single" w:sz="4" w:space="0" w:color="auto"/>
            </w:tcBorders>
            <w:vAlign w:val="bottom"/>
          </w:tcPr>
          <w:p w14:paraId="59A59AB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19 093</w:t>
            </w:r>
          </w:p>
        </w:tc>
        <w:tc>
          <w:tcPr>
            <w:tcW w:w="1276" w:type="dxa"/>
            <w:tcBorders>
              <w:top w:val="single" w:sz="4" w:space="0" w:color="auto"/>
              <w:bottom w:val="single" w:sz="4" w:space="0" w:color="auto"/>
            </w:tcBorders>
            <w:vAlign w:val="bottom"/>
          </w:tcPr>
          <w:p w14:paraId="412E36E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727</w:t>
            </w:r>
          </w:p>
        </w:tc>
        <w:tc>
          <w:tcPr>
            <w:tcW w:w="2693" w:type="dxa"/>
            <w:tcBorders>
              <w:top w:val="single" w:sz="4" w:space="0" w:color="auto"/>
              <w:bottom w:val="single" w:sz="4" w:space="0" w:color="auto"/>
            </w:tcBorders>
            <w:vAlign w:val="bottom"/>
          </w:tcPr>
          <w:p w14:paraId="24FDFC0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95.2 (93.5-96.9)</w:t>
            </w:r>
          </w:p>
        </w:tc>
        <w:tc>
          <w:tcPr>
            <w:tcW w:w="2268" w:type="dxa"/>
            <w:tcBorders>
              <w:top w:val="single" w:sz="4" w:space="0" w:color="auto"/>
              <w:bottom w:val="single" w:sz="4" w:space="0" w:color="auto"/>
            </w:tcBorders>
            <w:vAlign w:val="bottom"/>
          </w:tcPr>
          <w:p w14:paraId="3EB9D7B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83.7</w:t>
            </w:r>
          </w:p>
        </w:tc>
        <w:tc>
          <w:tcPr>
            <w:tcW w:w="2268" w:type="dxa"/>
            <w:tcBorders>
              <w:top w:val="single" w:sz="4" w:space="0" w:color="auto"/>
              <w:bottom w:val="single" w:sz="4" w:space="0" w:color="auto"/>
            </w:tcBorders>
            <w:vAlign w:val="bottom"/>
          </w:tcPr>
          <w:p w14:paraId="7A95F63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35.1</w:t>
            </w:r>
          </w:p>
        </w:tc>
      </w:tr>
      <w:tr w:rsidR="0064507B" w:rsidRPr="00112DB6" w14:paraId="2202F05E" w14:textId="77777777" w:rsidTr="009E51EE">
        <w:tc>
          <w:tcPr>
            <w:tcW w:w="3544" w:type="dxa"/>
            <w:tcBorders>
              <w:top w:val="single" w:sz="4" w:space="0" w:color="auto"/>
              <w:bottom w:val="single" w:sz="4" w:space="0" w:color="auto"/>
            </w:tcBorders>
            <w:vAlign w:val="bottom"/>
          </w:tcPr>
          <w:p w14:paraId="00AD6515" w14:textId="77777777" w:rsidR="0064507B" w:rsidRPr="00112DB6" w:rsidRDefault="0064507B" w:rsidP="009E51EE">
            <w:pPr>
              <w:spacing w:before="0" w:after="0" w:line="360" w:lineRule="auto"/>
              <w:ind w:left="170"/>
              <w:rPr>
                <w:rFonts w:cs="Times New Roman"/>
                <w:sz w:val="20"/>
                <w:szCs w:val="20"/>
                <w:lang w:val="en-US"/>
              </w:rPr>
            </w:pPr>
            <w:r w:rsidRPr="00112DB6">
              <w:rPr>
                <w:rFonts w:eastAsiaTheme="minorHAnsi" w:cs="Times New Roman"/>
                <w:sz w:val="20"/>
                <w:szCs w:val="20"/>
                <w:lang w:val="en-US"/>
              </w:rPr>
              <w:t>Atrial septal defect</w:t>
            </w:r>
          </w:p>
        </w:tc>
        <w:tc>
          <w:tcPr>
            <w:tcW w:w="1559" w:type="dxa"/>
            <w:tcBorders>
              <w:top w:val="single" w:sz="4" w:space="0" w:color="auto"/>
              <w:bottom w:val="single" w:sz="4" w:space="0" w:color="auto"/>
            </w:tcBorders>
            <w:vAlign w:val="bottom"/>
          </w:tcPr>
          <w:p w14:paraId="170B94F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6427</w:t>
            </w:r>
          </w:p>
        </w:tc>
        <w:tc>
          <w:tcPr>
            <w:tcW w:w="1276" w:type="dxa"/>
            <w:tcBorders>
              <w:top w:val="single" w:sz="4" w:space="0" w:color="auto"/>
              <w:bottom w:val="single" w:sz="4" w:space="0" w:color="auto"/>
            </w:tcBorders>
            <w:vAlign w:val="bottom"/>
          </w:tcPr>
          <w:p w14:paraId="325ECCB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332</w:t>
            </w:r>
          </w:p>
        </w:tc>
        <w:tc>
          <w:tcPr>
            <w:tcW w:w="2693" w:type="dxa"/>
            <w:tcBorders>
              <w:top w:val="single" w:sz="4" w:space="0" w:color="auto"/>
              <w:bottom w:val="single" w:sz="4" w:space="0" w:color="auto"/>
            </w:tcBorders>
            <w:vAlign w:val="bottom"/>
          </w:tcPr>
          <w:p w14:paraId="79E0F0B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94.5 (93.0-96.0)</w:t>
            </w:r>
          </w:p>
        </w:tc>
        <w:tc>
          <w:tcPr>
            <w:tcW w:w="2268" w:type="dxa"/>
            <w:tcBorders>
              <w:top w:val="single" w:sz="4" w:space="0" w:color="auto"/>
              <w:bottom w:val="single" w:sz="4" w:space="0" w:color="auto"/>
            </w:tcBorders>
            <w:vAlign w:val="bottom"/>
          </w:tcPr>
          <w:p w14:paraId="457FAFA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71.5</w:t>
            </w:r>
          </w:p>
        </w:tc>
        <w:tc>
          <w:tcPr>
            <w:tcW w:w="2268" w:type="dxa"/>
            <w:tcBorders>
              <w:top w:val="single" w:sz="4" w:space="0" w:color="auto"/>
              <w:bottom w:val="single" w:sz="4" w:space="0" w:color="auto"/>
            </w:tcBorders>
            <w:vAlign w:val="bottom"/>
          </w:tcPr>
          <w:p w14:paraId="4E83669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35.8</w:t>
            </w:r>
          </w:p>
        </w:tc>
      </w:tr>
      <w:tr w:rsidR="0064507B" w:rsidRPr="00112DB6" w14:paraId="7EED1156" w14:textId="77777777" w:rsidTr="009E51EE">
        <w:tc>
          <w:tcPr>
            <w:tcW w:w="3544" w:type="dxa"/>
            <w:tcBorders>
              <w:top w:val="single" w:sz="4" w:space="0" w:color="auto"/>
              <w:bottom w:val="single" w:sz="4" w:space="0" w:color="auto"/>
            </w:tcBorders>
            <w:vAlign w:val="bottom"/>
          </w:tcPr>
          <w:p w14:paraId="65CC0D41" w14:textId="77777777" w:rsidR="0064507B" w:rsidRPr="00112DB6" w:rsidRDefault="0064507B" w:rsidP="009E51EE">
            <w:pPr>
              <w:spacing w:before="0" w:after="0" w:line="360" w:lineRule="auto"/>
              <w:ind w:left="170"/>
              <w:rPr>
                <w:rFonts w:cs="Times New Roman"/>
                <w:sz w:val="20"/>
                <w:szCs w:val="20"/>
                <w:lang w:val="en-US"/>
              </w:rPr>
            </w:pPr>
            <w:r w:rsidRPr="00112DB6">
              <w:rPr>
                <w:rFonts w:eastAsiaTheme="minorHAnsi" w:cs="Times New Roman"/>
                <w:sz w:val="20"/>
                <w:szCs w:val="20"/>
                <w:lang w:val="en-US"/>
              </w:rPr>
              <w:t>Atrioventricular septal defect</w:t>
            </w:r>
          </w:p>
        </w:tc>
        <w:tc>
          <w:tcPr>
            <w:tcW w:w="1559" w:type="dxa"/>
            <w:tcBorders>
              <w:top w:val="single" w:sz="4" w:space="0" w:color="auto"/>
              <w:bottom w:val="single" w:sz="4" w:space="0" w:color="auto"/>
            </w:tcBorders>
            <w:vAlign w:val="bottom"/>
          </w:tcPr>
          <w:p w14:paraId="60255EE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1352</w:t>
            </w:r>
          </w:p>
        </w:tc>
        <w:tc>
          <w:tcPr>
            <w:tcW w:w="1276" w:type="dxa"/>
            <w:tcBorders>
              <w:top w:val="single" w:sz="4" w:space="0" w:color="auto"/>
              <w:bottom w:val="single" w:sz="4" w:space="0" w:color="auto"/>
            </w:tcBorders>
            <w:vAlign w:val="bottom"/>
          </w:tcPr>
          <w:p w14:paraId="14B70AD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244</w:t>
            </w:r>
          </w:p>
        </w:tc>
        <w:tc>
          <w:tcPr>
            <w:tcW w:w="2693" w:type="dxa"/>
            <w:tcBorders>
              <w:top w:val="single" w:sz="4" w:space="0" w:color="auto"/>
              <w:bottom w:val="single" w:sz="4" w:space="0" w:color="auto"/>
            </w:tcBorders>
            <w:vAlign w:val="bottom"/>
          </w:tcPr>
          <w:p w14:paraId="4D2830D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82.5 (79.3-85.9)</w:t>
            </w:r>
          </w:p>
        </w:tc>
        <w:tc>
          <w:tcPr>
            <w:tcW w:w="2268" w:type="dxa"/>
            <w:tcBorders>
              <w:top w:val="single" w:sz="4" w:space="0" w:color="auto"/>
              <w:bottom w:val="single" w:sz="4" w:space="0" w:color="auto"/>
            </w:tcBorders>
            <w:vAlign w:val="bottom"/>
          </w:tcPr>
          <w:p w14:paraId="19E6E50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35.8</w:t>
            </w:r>
          </w:p>
        </w:tc>
        <w:tc>
          <w:tcPr>
            <w:tcW w:w="2268" w:type="dxa"/>
            <w:tcBorders>
              <w:top w:val="single" w:sz="4" w:space="0" w:color="auto"/>
              <w:bottom w:val="single" w:sz="4" w:space="0" w:color="auto"/>
            </w:tcBorders>
            <w:vAlign w:val="bottom"/>
          </w:tcPr>
          <w:p w14:paraId="49EC079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28.7</w:t>
            </w:r>
          </w:p>
        </w:tc>
      </w:tr>
      <w:tr w:rsidR="0064507B" w:rsidRPr="00112DB6" w14:paraId="5B93EA38" w14:textId="77777777" w:rsidTr="009E51EE">
        <w:tc>
          <w:tcPr>
            <w:tcW w:w="3544" w:type="dxa"/>
            <w:tcBorders>
              <w:top w:val="single" w:sz="4" w:space="0" w:color="auto"/>
              <w:bottom w:val="single" w:sz="4" w:space="0" w:color="auto"/>
            </w:tcBorders>
            <w:vAlign w:val="bottom"/>
          </w:tcPr>
          <w:p w14:paraId="67BF0162"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 xml:space="preserve">Tetralogy of </w:t>
            </w:r>
            <w:proofErr w:type="spellStart"/>
            <w:r w:rsidRPr="00112DB6">
              <w:rPr>
                <w:rFonts w:eastAsiaTheme="minorHAnsi" w:cs="Times New Roman"/>
                <w:sz w:val="20"/>
                <w:szCs w:val="20"/>
                <w:lang w:val="en-US"/>
              </w:rPr>
              <w:t>Fallot</w:t>
            </w:r>
            <w:proofErr w:type="spellEnd"/>
          </w:p>
        </w:tc>
        <w:tc>
          <w:tcPr>
            <w:tcW w:w="1559" w:type="dxa"/>
            <w:tcBorders>
              <w:top w:val="single" w:sz="4" w:space="0" w:color="auto"/>
              <w:bottom w:val="single" w:sz="4" w:space="0" w:color="auto"/>
            </w:tcBorders>
            <w:vAlign w:val="bottom"/>
          </w:tcPr>
          <w:p w14:paraId="25A4F13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1249</w:t>
            </w:r>
          </w:p>
        </w:tc>
        <w:tc>
          <w:tcPr>
            <w:tcW w:w="1276" w:type="dxa"/>
            <w:tcBorders>
              <w:top w:val="single" w:sz="4" w:space="0" w:color="auto"/>
              <w:bottom w:val="single" w:sz="4" w:space="0" w:color="auto"/>
            </w:tcBorders>
            <w:vAlign w:val="bottom"/>
          </w:tcPr>
          <w:p w14:paraId="43C73C1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115</w:t>
            </w:r>
          </w:p>
        </w:tc>
        <w:tc>
          <w:tcPr>
            <w:tcW w:w="2693" w:type="dxa"/>
            <w:tcBorders>
              <w:top w:val="single" w:sz="4" w:space="0" w:color="auto"/>
              <w:bottom w:val="single" w:sz="4" w:space="0" w:color="auto"/>
            </w:tcBorders>
            <w:vAlign w:val="bottom"/>
          </w:tcPr>
          <w:p w14:paraId="4D5978D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92.7 (90.4-95.1)</w:t>
            </w:r>
          </w:p>
        </w:tc>
        <w:tc>
          <w:tcPr>
            <w:tcW w:w="2268" w:type="dxa"/>
            <w:tcBorders>
              <w:top w:val="single" w:sz="4" w:space="0" w:color="auto"/>
              <w:bottom w:val="single" w:sz="4" w:space="0" w:color="auto"/>
            </w:tcBorders>
            <w:vAlign w:val="bottom"/>
          </w:tcPr>
          <w:p w14:paraId="7C7E210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69.5</w:t>
            </w:r>
          </w:p>
        </w:tc>
        <w:tc>
          <w:tcPr>
            <w:tcW w:w="2268" w:type="dxa"/>
            <w:tcBorders>
              <w:top w:val="single" w:sz="4" w:space="0" w:color="auto"/>
              <w:bottom w:val="single" w:sz="4" w:space="0" w:color="auto"/>
            </w:tcBorders>
            <w:vAlign w:val="bottom"/>
          </w:tcPr>
          <w:p w14:paraId="0DC50D1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36.5</w:t>
            </w:r>
          </w:p>
        </w:tc>
      </w:tr>
      <w:tr w:rsidR="0064507B" w:rsidRPr="00112DB6" w14:paraId="17A3DC31" w14:textId="77777777" w:rsidTr="009E51EE">
        <w:tc>
          <w:tcPr>
            <w:tcW w:w="3544" w:type="dxa"/>
            <w:tcBorders>
              <w:top w:val="single" w:sz="4" w:space="0" w:color="auto"/>
              <w:bottom w:val="single" w:sz="4" w:space="0" w:color="auto"/>
            </w:tcBorders>
            <w:vAlign w:val="bottom"/>
          </w:tcPr>
          <w:p w14:paraId="548D4F64"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Pulmonary valve stenosis</w:t>
            </w:r>
          </w:p>
        </w:tc>
        <w:tc>
          <w:tcPr>
            <w:tcW w:w="1559" w:type="dxa"/>
            <w:tcBorders>
              <w:top w:val="single" w:sz="4" w:space="0" w:color="auto"/>
              <w:bottom w:val="single" w:sz="4" w:space="0" w:color="auto"/>
            </w:tcBorders>
            <w:vAlign w:val="bottom"/>
          </w:tcPr>
          <w:p w14:paraId="4C2BA27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2064</w:t>
            </w:r>
          </w:p>
        </w:tc>
        <w:tc>
          <w:tcPr>
            <w:tcW w:w="1276" w:type="dxa"/>
            <w:tcBorders>
              <w:top w:val="single" w:sz="4" w:space="0" w:color="auto"/>
              <w:bottom w:val="single" w:sz="4" w:space="0" w:color="auto"/>
            </w:tcBorders>
            <w:vAlign w:val="bottom"/>
          </w:tcPr>
          <w:p w14:paraId="41059C9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96</w:t>
            </w:r>
          </w:p>
        </w:tc>
        <w:tc>
          <w:tcPr>
            <w:tcW w:w="2693" w:type="dxa"/>
            <w:tcBorders>
              <w:top w:val="single" w:sz="4" w:space="0" w:color="auto"/>
              <w:bottom w:val="single" w:sz="4" w:space="0" w:color="auto"/>
            </w:tcBorders>
            <w:vAlign w:val="bottom"/>
          </w:tcPr>
          <w:p w14:paraId="0F54CDA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96.4 (94.8-98.0)</w:t>
            </w:r>
          </w:p>
        </w:tc>
        <w:tc>
          <w:tcPr>
            <w:tcW w:w="2268" w:type="dxa"/>
            <w:tcBorders>
              <w:top w:val="single" w:sz="4" w:space="0" w:color="auto"/>
              <w:bottom w:val="single" w:sz="4" w:space="0" w:color="auto"/>
            </w:tcBorders>
            <w:vAlign w:val="bottom"/>
          </w:tcPr>
          <w:p w14:paraId="436365F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81.8</w:t>
            </w:r>
          </w:p>
        </w:tc>
        <w:tc>
          <w:tcPr>
            <w:tcW w:w="2268" w:type="dxa"/>
            <w:tcBorders>
              <w:top w:val="single" w:sz="4" w:space="0" w:color="auto"/>
              <w:bottom w:val="single" w:sz="4" w:space="0" w:color="auto"/>
            </w:tcBorders>
            <w:vAlign w:val="bottom"/>
          </w:tcPr>
          <w:p w14:paraId="574BF28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46.9</w:t>
            </w:r>
          </w:p>
        </w:tc>
      </w:tr>
      <w:tr w:rsidR="0064507B" w:rsidRPr="00112DB6" w14:paraId="47B2148C" w14:textId="77777777" w:rsidTr="009E51EE">
        <w:tc>
          <w:tcPr>
            <w:tcW w:w="3544" w:type="dxa"/>
            <w:tcBorders>
              <w:top w:val="single" w:sz="4" w:space="0" w:color="auto"/>
              <w:bottom w:val="single" w:sz="4" w:space="0" w:color="auto"/>
            </w:tcBorders>
            <w:vAlign w:val="bottom"/>
          </w:tcPr>
          <w:p w14:paraId="044311A8"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lastRenderedPageBreak/>
              <w:t>Aortic valve atresia/stenosis</w:t>
            </w:r>
          </w:p>
        </w:tc>
        <w:tc>
          <w:tcPr>
            <w:tcW w:w="1559" w:type="dxa"/>
            <w:tcBorders>
              <w:top w:val="single" w:sz="4" w:space="0" w:color="auto"/>
              <w:bottom w:val="single" w:sz="4" w:space="0" w:color="auto"/>
            </w:tcBorders>
            <w:vAlign w:val="bottom"/>
          </w:tcPr>
          <w:p w14:paraId="1C0902F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696</w:t>
            </w:r>
          </w:p>
        </w:tc>
        <w:tc>
          <w:tcPr>
            <w:tcW w:w="1276" w:type="dxa"/>
            <w:tcBorders>
              <w:top w:val="single" w:sz="4" w:space="0" w:color="auto"/>
              <w:bottom w:val="single" w:sz="4" w:space="0" w:color="auto"/>
            </w:tcBorders>
            <w:vAlign w:val="bottom"/>
          </w:tcPr>
          <w:p w14:paraId="20C2B82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81</w:t>
            </w:r>
          </w:p>
        </w:tc>
        <w:tc>
          <w:tcPr>
            <w:tcW w:w="2693" w:type="dxa"/>
            <w:tcBorders>
              <w:top w:val="single" w:sz="4" w:space="0" w:color="auto"/>
              <w:bottom w:val="single" w:sz="4" w:space="0" w:color="auto"/>
            </w:tcBorders>
            <w:vAlign w:val="bottom"/>
          </w:tcPr>
          <w:p w14:paraId="691ECF5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89.9 (87.2-92.8)</w:t>
            </w:r>
          </w:p>
        </w:tc>
        <w:tc>
          <w:tcPr>
            <w:tcW w:w="2268" w:type="dxa"/>
            <w:tcBorders>
              <w:top w:val="single" w:sz="4" w:space="0" w:color="auto"/>
              <w:bottom w:val="single" w:sz="4" w:space="0" w:color="auto"/>
            </w:tcBorders>
            <w:vAlign w:val="bottom"/>
          </w:tcPr>
          <w:p w14:paraId="5E05E28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82.8</w:t>
            </w:r>
          </w:p>
        </w:tc>
        <w:tc>
          <w:tcPr>
            <w:tcW w:w="2268" w:type="dxa"/>
            <w:tcBorders>
              <w:top w:val="single" w:sz="4" w:space="0" w:color="auto"/>
              <w:bottom w:val="single" w:sz="4" w:space="0" w:color="auto"/>
            </w:tcBorders>
            <w:vAlign w:val="bottom"/>
          </w:tcPr>
          <w:p w14:paraId="22D104C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71.6</w:t>
            </w:r>
          </w:p>
        </w:tc>
      </w:tr>
      <w:tr w:rsidR="0064507B" w:rsidRPr="00112DB6" w14:paraId="591FB95B" w14:textId="77777777" w:rsidTr="009E51EE">
        <w:tc>
          <w:tcPr>
            <w:tcW w:w="3544" w:type="dxa"/>
            <w:tcBorders>
              <w:top w:val="single" w:sz="4" w:space="0" w:color="auto"/>
              <w:bottom w:val="single" w:sz="4" w:space="0" w:color="auto"/>
            </w:tcBorders>
            <w:vAlign w:val="bottom"/>
          </w:tcPr>
          <w:p w14:paraId="15CB242A" w14:textId="77777777" w:rsidR="0064507B" w:rsidRPr="00112DB6" w:rsidRDefault="0064507B" w:rsidP="009E51EE">
            <w:pPr>
              <w:spacing w:before="0" w:after="0" w:line="360" w:lineRule="auto"/>
              <w:ind w:left="170"/>
              <w:rPr>
                <w:rFonts w:eastAsiaTheme="minorHAnsi" w:cs="Times New Roman"/>
                <w:sz w:val="20"/>
                <w:szCs w:val="20"/>
                <w:lang w:val="en-US"/>
              </w:rPr>
            </w:pPr>
            <w:r w:rsidRPr="00112DB6">
              <w:rPr>
                <w:rFonts w:eastAsiaTheme="minorHAnsi" w:cs="Times New Roman"/>
                <w:sz w:val="20"/>
                <w:szCs w:val="20"/>
                <w:lang w:val="en-US"/>
              </w:rPr>
              <w:t>Mitral valve anomalies</w:t>
            </w:r>
          </w:p>
        </w:tc>
        <w:tc>
          <w:tcPr>
            <w:tcW w:w="1559" w:type="dxa"/>
            <w:tcBorders>
              <w:top w:val="single" w:sz="4" w:space="0" w:color="auto"/>
              <w:bottom w:val="single" w:sz="4" w:space="0" w:color="auto"/>
            </w:tcBorders>
            <w:vAlign w:val="bottom"/>
          </w:tcPr>
          <w:p w14:paraId="2D3728E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628</w:t>
            </w:r>
          </w:p>
        </w:tc>
        <w:tc>
          <w:tcPr>
            <w:tcW w:w="1276" w:type="dxa"/>
            <w:tcBorders>
              <w:top w:val="single" w:sz="4" w:space="0" w:color="auto"/>
              <w:bottom w:val="single" w:sz="4" w:space="0" w:color="auto"/>
            </w:tcBorders>
            <w:vAlign w:val="bottom"/>
          </w:tcPr>
          <w:p w14:paraId="382961B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98</w:t>
            </w:r>
          </w:p>
        </w:tc>
        <w:tc>
          <w:tcPr>
            <w:tcW w:w="2693" w:type="dxa"/>
            <w:tcBorders>
              <w:top w:val="single" w:sz="4" w:space="0" w:color="auto"/>
              <w:bottom w:val="single" w:sz="4" w:space="0" w:color="auto"/>
            </w:tcBorders>
            <w:vAlign w:val="bottom"/>
          </w:tcPr>
          <w:p w14:paraId="26957E1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85.0 (80.7-89.6)</w:t>
            </w:r>
          </w:p>
        </w:tc>
        <w:tc>
          <w:tcPr>
            <w:tcW w:w="2268" w:type="dxa"/>
            <w:tcBorders>
              <w:top w:val="single" w:sz="4" w:space="0" w:color="auto"/>
              <w:bottom w:val="single" w:sz="4" w:space="0" w:color="auto"/>
            </w:tcBorders>
            <w:vAlign w:val="bottom"/>
          </w:tcPr>
          <w:p w14:paraId="5014354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72.1</w:t>
            </w:r>
          </w:p>
        </w:tc>
        <w:tc>
          <w:tcPr>
            <w:tcW w:w="2268" w:type="dxa"/>
            <w:tcBorders>
              <w:top w:val="single" w:sz="4" w:space="0" w:color="auto"/>
              <w:bottom w:val="single" w:sz="4" w:space="0" w:color="auto"/>
            </w:tcBorders>
            <w:vAlign w:val="bottom"/>
          </w:tcPr>
          <w:p w14:paraId="324D436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53.1</w:t>
            </w:r>
          </w:p>
        </w:tc>
      </w:tr>
      <w:tr w:rsidR="0064507B" w:rsidRPr="00112DB6" w14:paraId="587FFA0F" w14:textId="77777777" w:rsidTr="009E51EE">
        <w:tc>
          <w:tcPr>
            <w:tcW w:w="3544" w:type="dxa"/>
            <w:tcBorders>
              <w:top w:val="single" w:sz="4" w:space="0" w:color="auto"/>
              <w:bottom w:val="single" w:sz="4" w:space="0" w:color="auto"/>
            </w:tcBorders>
            <w:vAlign w:val="bottom"/>
          </w:tcPr>
          <w:p w14:paraId="3116CA53" w14:textId="77777777" w:rsidR="0064507B" w:rsidRPr="00112DB6" w:rsidRDefault="0064507B" w:rsidP="009E51EE">
            <w:pPr>
              <w:spacing w:before="0" w:after="0" w:line="360" w:lineRule="auto"/>
              <w:ind w:left="170"/>
              <w:rPr>
                <w:rFonts w:eastAsiaTheme="minorHAnsi" w:cs="Times New Roman"/>
                <w:sz w:val="20"/>
                <w:szCs w:val="20"/>
                <w:lang w:val="en-US"/>
              </w:rPr>
            </w:pPr>
            <w:proofErr w:type="spellStart"/>
            <w:r w:rsidRPr="00112DB6">
              <w:rPr>
                <w:rFonts w:eastAsiaTheme="minorHAnsi" w:cs="Times New Roman"/>
                <w:sz w:val="20"/>
                <w:szCs w:val="20"/>
                <w:lang w:val="en-US"/>
              </w:rPr>
              <w:t>Hypoplastic</w:t>
            </w:r>
            <w:proofErr w:type="spellEnd"/>
            <w:r w:rsidRPr="00112DB6">
              <w:rPr>
                <w:rFonts w:eastAsiaTheme="minorHAnsi" w:cs="Times New Roman"/>
                <w:sz w:val="20"/>
                <w:szCs w:val="20"/>
                <w:lang w:val="en-US"/>
              </w:rPr>
              <w:t xml:space="preserve"> left heart</w:t>
            </w:r>
          </w:p>
        </w:tc>
        <w:tc>
          <w:tcPr>
            <w:tcW w:w="1559" w:type="dxa"/>
            <w:tcBorders>
              <w:top w:val="single" w:sz="4" w:space="0" w:color="auto"/>
              <w:bottom w:val="single" w:sz="4" w:space="0" w:color="auto"/>
            </w:tcBorders>
            <w:vAlign w:val="bottom"/>
          </w:tcPr>
          <w:p w14:paraId="525CAC1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605</w:t>
            </w:r>
          </w:p>
        </w:tc>
        <w:tc>
          <w:tcPr>
            <w:tcW w:w="1276" w:type="dxa"/>
            <w:tcBorders>
              <w:top w:val="single" w:sz="4" w:space="0" w:color="auto"/>
              <w:bottom w:val="single" w:sz="4" w:space="0" w:color="auto"/>
            </w:tcBorders>
            <w:vAlign w:val="bottom"/>
          </w:tcPr>
          <w:p w14:paraId="4841E0D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289</w:t>
            </w:r>
          </w:p>
        </w:tc>
        <w:tc>
          <w:tcPr>
            <w:tcW w:w="2693" w:type="dxa"/>
            <w:tcBorders>
              <w:top w:val="single" w:sz="4" w:space="0" w:color="auto"/>
              <w:bottom w:val="single" w:sz="4" w:space="0" w:color="auto"/>
            </w:tcBorders>
            <w:vAlign w:val="bottom"/>
          </w:tcPr>
          <w:p w14:paraId="225A873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49.6 (42.7-57.5)</w:t>
            </w:r>
          </w:p>
        </w:tc>
        <w:tc>
          <w:tcPr>
            <w:tcW w:w="2268" w:type="dxa"/>
            <w:tcBorders>
              <w:top w:val="single" w:sz="4" w:space="0" w:color="auto"/>
              <w:bottom w:val="single" w:sz="4" w:space="0" w:color="auto"/>
            </w:tcBorders>
            <w:vAlign w:val="bottom"/>
          </w:tcPr>
          <w:p w14:paraId="060157C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85.1</w:t>
            </w:r>
          </w:p>
        </w:tc>
        <w:tc>
          <w:tcPr>
            <w:tcW w:w="2268" w:type="dxa"/>
            <w:tcBorders>
              <w:top w:val="single" w:sz="4" w:space="0" w:color="auto"/>
              <w:bottom w:val="single" w:sz="4" w:space="0" w:color="auto"/>
            </w:tcBorders>
            <w:vAlign w:val="bottom"/>
          </w:tcPr>
          <w:p w14:paraId="7C90C26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82.0</w:t>
            </w:r>
          </w:p>
        </w:tc>
      </w:tr>
      <w:tr w:rsidR="0064507B" w:rsidRPr="00112DB6" w14:paraId="22AA4C16" w14:textId="77777777" w:rsidTr="009E51EE">
        <w:tc>
          <w:tcPr>
            <w:tcW w:w="3544" w:type="dxa"/>
            <w:tcBorders>
              <w:top w:val="single" w:sz="4" w:space="0" w:color="auto"/>
              <w:bottom w:val="single" w:sz="4" w:space="0" w:color="auto"/>
            </w:tcBorders>
            <w:vAlign w:val="bottom"/>
          </w:tcPr>
          <w:p w14:paraId="40A8F448" w14:textId="77777777" w:rsidR="0064507B" w:rsidRPr="00112DB6" w:rsidRDefault="0064507B" w:rsidP="009E51EE">
            <w:pPr>
              <w:spacing w:before="0" w:after="0" w:line="360" w:lineRule="auto"/>
              <w:ind w:left="170"/>
              <w:rPr>
                <w:rFonts w:eastAsiaTheme="minorHAnsi" w:cs="Times New Roman"/>
                <w:sz w:val="20"/>
                <w:szCs w:val="20"/>
                <w:lang w:val="en-US"/>
              </w:rPr>
            </w:pPr>
            <w:proofErr w:type="spellStart"/>
            <w:r w:rsidRPr="00112DB6">
              <w:rPr>
                <w:rFonts w:eastAsiaTheme="minorHAnsi" w:cs="Times New Roman"/>
                <w:sz w:val="20"/>
                <w:szCs w:val="20"/>
                <w:lang w:val="en-US"/>
              </w:rPr>
              <w:t>Coarctation</w:t>
            </w:r>
            <w:proofErr w:type="spellEnd"/>
            <w:r w:rsidRPr="00112DB6">
              <w:rPr>
                <w:rFonts w:eastAsiaTheme="minorHAnsi" w:cs="Times New Roman"/>
                <w:sz w:val="20"/>
                <w:szCs w:val="20"/>
                <w:lang w:val="en-US"/>
              </w:rPr>
              <w:t xml:space="preserve"> of aorta</w:t>
            </w:r>
          </w:p>
        </w:tc>
        <w:tc>
          <w:tcPr>
            <w:tcW w:w="1559" w:type="dxa"/>
            <w:tcBorders>
              <w:top w:val="single" w:sz="4" w:space="0" w:color="auto"/>
              <w:bottom w:val="single" w:sz="4" w:space="0" w:color="auto"/>
            </w:tcBorders>
            <w:vAlign w:val="bottom"/>
          </w:tcPr>
          <w:p w14:paraId="2CB0380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1879</w:t>
            </w:r>
          </w:p>
        </w:tc>
        <w:tc>
          <w:tcPr>
            <w:tcW w:w="1276" w:type="dxa"/>
            <w:tcBorders>
              <w:top w:val="single" w:sz="4" w:space="0" w:color="auto"/>
              <w:bottom w:val="single" w:sz="4" w:space="0" w:color="auto"/>
            </w:tcBorders>
            <w:vAlign w:val="bottom"/>
          </w:tcPr>
          <w:p w14:paraId="7F628ED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186</w:t>
            </w:r>
          </w:p>
        </w:tc>
        <w:tc>
          <w:tcPr>
            <w:tcW w:w="2693" w:type="dxa"/>
            <w:tcBorders>
              <w:top w:val="single" w:sz="4" w:space="0" w:color="auto"/>
              <w:bottom w:val="single" w:sz="4" w:space="0" w:color="auto"/>
            </w:tcBorders>
            <w:vAlign w:val="bottom"/>
          </w:tcPr>
          <w:p w14:paraId="030F3C62"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89.6 (87.4-91.8)</w:t>
            </w:r>
          </w:p>
        </w:tc>
        <w:tc>
          <w:tcPr>
            <w:tcW w:w="2268" w:type="dxa"/>
            <w:tcBorders>
              <w:top w:val="single" w:sz="4" w:space="0" w:color="auto"/>
              <w:bottom w:val="single" w:sz="4" w:space="0" w:color="auto"/>
            </w:tcBorders>
            <w:vAlign w:val="bottom"/>
          </w:tcPr>
          <w:p w14:paraId="7A8C206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77.2</w:t>
            </w:r>
          </w:p>
        </w:tc>
        <w:tc>
          <w:tcPr>
            <w:tcW w:w="2268" w:type="dxa"/>
            <w:tcBorders>
              <w:top w:val="single" w:sz="4" w:space="0" w:color="auto"/>
              <w:bottom w:val="single" w:sz="4" w:space="0" w:color="auto"/>
            </w:tcBorders>
            <w:vAlign w:val="bottom"/>
          </w:tcPr>
          <w:p w14:paraId="6CC37D49"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54.3</w:t>
            </w:r>
          </w:p>
        </w:tc>
      </w:tr>
      <w:tr w:rsidR="0064507B" w:rsidRPr="00112DB6" w14:paraId="6255C0EF" w14:textId="77777777" w:rsidTr="009E51EE">
        <w:tc>
          <w:tcPr>
            <w:tcW w:w="3544" w:type="dxa"/>
            <w:tcBorders>
              <w:top w:val="single" w:sz="4" w:space="0" w:color="auto"/>
              <w:bottom w:val="single" w:sz="4" w:space="0" w:color="auto"/>
            </w:tcBorders>
            <w:vAlign w:val="bottom"/>
          </w:tcPr>
          <w:p w14:paraId="7A35B77D" w14:textId="77777777" w:rsidR="0064507B" w:rsidRPr="00112DB6" w:rsidRDefault="0064507B" w:rsidP="009E51EE">
            <w:pPr>
              <w:spacing w:before="0" w:after="0" w:line="240" w:lineRule="auto"/>
              <w:ind w:left="170"/>
              <w:rPr>
                <w:rFonts w:eastAsiaTheme="minorHAnsi" w:cs="Times New Roman"/>
                <w:sz w:val="20"/>
                <w:szCs w:val="20"/>
                <w:lang w:val="en-US"/>
              </w:rPr>
            </w:pPr>
            <w:r w:rsidRPr="00112DB6">
              <w:rPr>
                <w:rFonts w:cs="Times New Roman"/>
                <w:color w:val="000000"/>
                <w:sz w:val="20"/>
                <w:szCs w:val="20"/>
                <w:shd w:val="clear" w:color="auto" w:fill="FFFFFF"/>
                <w:lang w:val="en-US"/>
              </w:rPr>
              <w:t>Patent ductus arteriosus</w:t>
            </w:r>
            <w:r w:rsidRPr="00112DB6">
              <w:rPr>
                <w:rFonts w:eastAsiaTheme="minorHAnsi" w:cs="Times New Roman"/>
                <w:sz w:val="20"/>
                <w:szCs w:val="20"/>
                <w:lang w:val="en-US"/>
              </w:rPr>
              <w:t xml:space="preserve"> as only CHD in term infants (≥37 weeks)</w:t>
            </w:r>
          </w:p>
        </w:tc>
        <w:tc>
          <w:tcPr>
            <w:tcW w:w="1559" w:type="dxa"/>
            <w:tcBorders>
              <w:top w:val="single" w:sz="4" w:space="0" w:color="auto"/>
              <w:bottom w:val="single" w:sz="4" w:space="0" w:color="auto"/>
            </w:tcBorders>
            <w:vAlign w:val="bottom"/>
          </w:tcPr>
          <w:p w14:paraId="79CD2BE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1725</w:t>
            </w:r>
          </w:p>
        </w:tc>
        <w:tc>
          <w:tcPr>
            <w:tcW w:w="1276" w:type="dxa"/>
            <w:tcBorders>
              <w:top w:val="single" w:sz="4" w:space="0" w:color="auto"/>
              <w:bottom w:val="single" w:sz="4" w:space="0" w:color="auto"/>
            </w:tcBorders>
            <w:vAlign w:val="bottom"/>
          </w:tcPr>
          <w:p w14:paraId="4F19E93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51</w:t>
            </w:r>
          </w:p>
        </w:tc>
        <w:tc>
          <w:tcPr>
            <w:tcW w:w="2693" w:type="dxa"/>
            <w:tcBorders>
              <w:top w:val="single" w:sz="4" w:space="0" w:color="auto"/>
              <w:bottom w:val="single" w:sz="4" w:space="0" w:color="auto"/>
            </w:tcBorders>
            <w:vAlign w:val="bottom"/>
          </w:tcPr>
          <w:p w14:paraId="301430D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97.2 (95.8-98.7)</w:t>
            </w:r>
          </w:p>
        </w:tc>
        <w:tc>
          <w:tcPr>
            <w:tcW w:w="2268" w:type="dxa"/>
            <w:tcBorders>
              <w:top w:val="single" w:sz="4" w:space="0" w:color="auto"/>
              <w:bottom w:val="single" w:sz="4" w:space="0" w:color="auto"/>
            </w:tcBorders>
            <w:vAlign w:val="bottom"/>
          </w:tcPr>
          <w:p w14:paraId="11A3078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69.6</w:t>
            </w:r>
          </w:p>
        </w:tc>
        <w:tc>
          <w:tcPr>
            <w:tcW w:w="2268" w:type="dxa"/>
            <w:tcBorders>
              <w:top w:val="single" w:sz="4" w:space="0" w:color="auto"/>
              <w:bottom w:val="single" w:sz="4" w:space="0" w:color="auto"/>
            </w:tcBorders>
            <w:vAlign w:val="bottom"/>
          </w:tcPr>
          <w:p w14:paraId="36652C0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25.5</w:t>
            </w:r>
          </w:p>
        </w:tc>
      </w:tr>
      <w:tr w:rsidR="0064507B" w:rsidRPr="00112DB6" w14:paraId="77AEEBC5" w14:textId="77777777" w:rsidTr="009E51EE">
        <w:tc>
          <w:tcPr>
            <w:tcW w:w="3544" w:type="dxa"/>
            <w:tcBorders>
              <w:top w:val="single" w:sz="4" w:space="0" w:color="auto"/>
              <w:bottom w:val="single" w:sz="4" w:space="0" w:color="auto"/>
            </w:tcBorders>
            <w:vAlign w:val="bottom"/>
          </w:tcPr>
          <w:p w14:paraId="0ED76EDD"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Respiratory system</w:t>
            </w:r>
          </w:p>
        </w:tc>
        <w:tc>
          <w:tcPr>
            <w:tcW w:w="1559" w:type="dxa"/>
            <w:tcBorders>
              <w:top w:val="single" w:sz="4" w:space="0" w:color="auto"/>
              <w:bottom w:val="single" w:sz="4" w:space="0" w:color="auto"/>
            </w:tcBorders>
            <w:vAlign w:val="bottom"/>
          </w:tcPr>
          <w:p w14:paraId="79C4C62F"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0CF3F83B"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0686AC5B"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778EC605"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3B4F990A"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46F948EA" w14:textId="77777777" w:rsidTr="009E51EE">
        <w:tc>
          <w:tcPr>
            <w:tcW w:w="3544" w:type="dxa"/>
            <w:tcBorders>
              <w:top w:val="single" w:sz="4" w:space="0" w:color="auto"/>
              <w:bottom w:val="single" w:sz="4" w:space="0" w:color="auto"/>
            </w:tcBorders>
            <w:vAlign w:val="bottom"/>
          </w:tcPr>
          <w:p w14:paraId="0C97EE4A"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Cystic adenomatous malformation of lung</w:t>
            </w:r>
          </w:p>
        </w:tc>
        <w:tc>
          <w:tcPr>
            <w:tcW w:w="1559" w:type="dxa"/>
            <w:tcBorders>
              <w:top w:val="single" w:sz="4" w:space="0" w:color="auto"/>
              <w:bottom w:val="single" w:sz="4" w:space="0" w:color="auto"/>
            </w:tcBorders>
            <w:vAlign w:val="bottom"/>
          </w:tcPr>
          <w:p w14:paraId="3B9D3AF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412</w:t>
            </w:r>
          </w:p>
        </w:tc>
        <w:tc>
          <w:tcPr>
            <w:tcW w:w="1276" w:type="dxa"/>
            <w:tcBorders>
              <w:top w:val="single" w:sz="4" w:space="0" w:color="auto"/>
              <w:bottom w:val="single" w:sz="4" w:space="0" w:color="auto"/>
            </w:tcBorders>
            <w:vAlign w:val="bottom"/>
          </w:tcPr>
          <w:p w14:paraId="19EBE46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w:t>
            </w:r>
          </w:p>
        </w:tc>
        <w:tc>
          <w:tcPr>
            <w:tcW w:w="2693" w:type="dxa"/>
            <w:tcBorders>
              <w:top w:val="single" w:sz="4" w:space="0" w:color="auto"/>
              <w:bottom w:val="single" w:sz="4" w:space="0" w:color="auto"/>
            </w:tcBorders>
            <w:vAlign w:val="bottom"/>
          </w:tcPr>
          <w:p w14:paraId="09A638F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97.2 (95.2-99.1)</w:t>
            </w:r>
          </w:p>
        </w:tc>
        <w:tc>
          <w:tcPr>
            <w:tcW w:w="2268" w:type="dxa"/>
            <w:tcBorders>
              <w:top w:val="single" w:sz="4" w:space="0" w:color="auto"/>
              <w:bottom w:val="single" w:sz="4" w:space="0" w:color="auto"/>
            </w:tcBorders>
            <w:vAlign w:val="bottom"/>
          </w:tcPr>
          <w:p w14:paraId="48E4CEC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84.7</w:t>
            </w:r>
          </w:p>
        </w:tc>
        <w:tc>
          <w:tcPr>
            <w:tcW w:w="2268" w:type="dxa"/>
            <w:tcBorders>
              <w:top w:val="single" w:sz="4" w:space="0" w:color="auto"/>
              <w:bottom w:val="single" w:sz="4" w:space="0" w:color="auto"/>
            </w:tcBorders>
            <w:vAlign w:val="bottom"/>
          </w:tcPr>
          <w:p w14:paraId="0CDE4B3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46.7</w:t>
            </w:r>
          </w:p>
        </w:tc>
      </w:tr>
      <w:tr w:rsidR="0064507B" w:rsidRPr="00112DB6" w14:paraId="34F1952E" w14:textId="77777777" w:rsidTr="009E51EE">
        <w:tc>
          <w:tcPr>
            <w:tcW w:w="3544" w:type="dxa"/>
            <w:tcBorders>
              <w:top w:val="single" w:sz="4" w:space="0" w:color="auto"/>
              <w:bottom w:val="single" w:sz="4" w:space="0" w:color="auto"/>
            </w:tcBorders>
            <w:vAlign w:val="bottom"/>
          </w:tcPr>
          <w:p w14:paraId="646F061B"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Orofacial clefts</w:t>
            </w:r>
          </w:p>
        </w:tc>
        <w:tc>
          <w:tcPr>
            <w:tcW w:w="1559" w:type="dxa"/>
            <w:tcBorders>
              <w:top w:val="single" w:sz="4" w:space="0" w:color="auto"/>
              <w:bottom w:val="single" w:sz="4" w:space="0" w:color="auto"/>
            </w:tcBorders>
            <w:vAlign w:val="bottom"/>
          </w:tcPr>
          <w:p w14:paraId="124A367E"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44193CD7"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173FDF5F"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0868FC22"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3E9D55CE"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3401A436" w14:textId="77777777" w:rsidTr="009E51EE">
        <w:tc>
          <w:tcPr>
            <w:tcW w:w="3544" w:type="dxa"/>
            <w:tcBorders>
              <w:top w:val="single" w:sz="4" w:space="0" w:color="auto"/>
              <w:bottom w:val="single" w:sz="4" w:space="0" w:color="auto"/>
            </w:tcBorders>
            <w:vAlign w:val="bottom"/>
          </w:tcPr>
          <w:p w14:paraId="32F4DB48"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Cleft lip with or without cleft palate</w:t>
            </w:r>
          </w:p>
        </w:tc>
        <w:tc>
          <w:tcPr>
            <w:tcW w:w="1559" w:type="dxa"/>
            <w:tcBorders>
              <w:top w:val="single" w:sz="4" w:space="0" w:color="auto"/>
              <w:bottom w:val="single" w:sz="4" w:space="0" w:color="auto"/>
            </w:tcBorders>
            <w:vAlign w:val="bottom"/>
          </w:tcPr>
          <w:p w14:paraId="768D1D43"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3325</w:t>
            </w:r>
          </w:p>
        </w:tc>
        <w:tc>
          <w:tcPr>
            <w:tcW w:w="1276" w:type="dxa"/>
            <w:tcBorders>
              <w:top w:val="single" w:sz="4" w:space="0" w:color="auto"/>
              <w:bottom w:val="single" w:sz="4" w:space="0" w:color="auto"/>
            </w:tcBorders>
            <w:vAlign w:val="bottom"/>
          </w:tcPr>
          <w:p w14:paraId="1EA897D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106</w:t>
            </w:r>
          </w:p>
        </w:tc>
        <w:tc>
          <w:tcPr>
            <w:tcW w:w="2693" w:type="dxa"/>
            <w:tcBorders>
              <w:top w:val="single" w:sz="4" w:space="0" w:color="auto"/>
              <w:bottom w:val="single" w:sz="4" w:space="0" w:color="auto"/>
            </w:tcBorders>
            <w:vAlign w:val="bottom"/>
          </w:tcPr>
          <w:p w14:paraId="44D4E5C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97.4 (96.6-98.2)</w:t>
            </w:r>
          </w:p>
        </w:tc>
        <w:tc>
          <w:tcPr>
            <w:tcW w:w="2268" w:type="dxa"/>
            <w:tcBorders>
              <w:top w:val="single" w:sz="4" w:space="0" w:color="auto"/>
              <w:bottom w:val="single" w:sz="4" w:space="0" w:color="auto"/>
            </w:tcBorders>
            <w:vAlign w:val="bottom"/>
          </w:tcPr>
          <w:p w14:paraId="368097C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84.5</w:t>
            </w:r>
          </w:p>
        </w:tc>
        <w:tc>
          <w:tcPr>
            <w:tcW w:w="2268" w:type="dxa"/>
            <w:tcBorders>
              <w:top w:val="single" w:sz="4" w:space="0" w:color="auto"/>
              <w:bottom w:val="single" w:sz="4" w:space="0" w:color="auto"/>
            </w:tcBorders>
            <w:vAlign w:val="bottom"/>
          </w:tcPr>
          <w:p w14:paraId="7E4B90D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13.2</w:t>
            </w:r>
          </w:p>
        </w:tc>
      </w:tr>
      <w:tr w:rsidR="0064507B" w:rsidRPr="00112DB6" w14:paraId="10DA72BB" w14:textId="77777777" w:rsidTr="009E51EE">
        <w:tc>
          <w:tcPr>
            <w:tcW w:w="3544" w:type="dxa"/>
            <w:tcBorders>
              <w:top w:val="single" w:sz="4" w:space="0" w:color="auto"/>
              <w:bottom w:val="single" w:sz="4" w:space="0" w:color="auto"/>
            </w:tcBorders>
            <w:vAlign w:val="bottom"/>
          </w:tcPr>
          <w:p w14:paraId="3E05865B"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Cleft palate</w:t>
            </w:r>
          </w:p>
        </w:tc>
        <w:tc>
          <w:tcPr>
            <w:tcW w:w="1559" w:type="dxa"/>
            <w:tcBorders>
              <w:top w:val="single" w:sz="4" w:space="0" w:color="auto"/>
              <w:bottom w:val="single" w:sz="4" w:space="0" w:color="auto"/>
            </w:tcBorders>
            <w:vAlign w:val="bottom"/>
          </w:tcPr>
          <w:p w14:paraId="7500299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2752</w:t>
            </w:r>
          </w:p>
        </w:tc>
        <w:tc>
          <w:tcPr>
            <w:tcW w:w="1276" w:type="dxa"/>
            <w:tcBorders>
              <w:top w:val="single" w:sz="4" w:space="0" w:color="auto"/>
              <w:bottom w:val="single" w:sz="4" w:space="0" w:color="auto"/>
            </w:tcBorders>
            <w:vAlign w:val="bottom"/>
          </w:tcPr>
          <w:p w14:paraId="2249AD6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147</w:t>
            </w:r>
          </w:p>
        </w:tc>
        <w:tc>
          <w:tcPr>
            <w:tcW w:w="2693" w:type="dxa"/>
            <w:tcBorders>
              <w:top w:val="single" w:sz="4" w:space="0" w:color="auto"/>
              <w:bottom w:val="single" w:sz="4" w:space="0" w:color="auto"/>
            </w:tcBorders>
            <w:vAlign w:val="bottom"/>
          </w:tcPr>
          <w:p w14:paraId="7F8F016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95.0 (93.7-96.3)</w:t>
            </w:r>
          </w:p>
        </w:tc>
        <w:tc>
          <w:tcPr>
            <w:tcW w:w="2268" w:type="dxa"/>
            <w:tcBorders>
              <w:top w:val="single" w:sz="4" w:space="0" w:color="auto"/>
              <w:bottom w:val="single" w:sz="4" w:space="0" w:color="auto"/>
            </w:tcBorders>
            <w:vAlign w:val="bottom"/>
          </w:tcPr>
          <w:p w14:paraId="2C354E8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68.4</w:t>
            </w:r>
          </w:p>
        </w:tc>
        <w:tc>
          <w:tcPr>
            <w:tcW w:w="2268" w:type="dxa"/>
            <w:tcBorders>
              <w:top w:val="single" w:sz="4" w:space="0" w:color="auto"/>
              <w:bottom w:val="single" w:sz="4" w:space="0" w:color="auto"/>
            </w:tcBorders>
            <w:vAlign w:val="bottom"/>
          </w:tcPr>
          <w:p w14:paraId="1411FB1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10.2</w:t>
            </w:r>
          </w:p>
        </w:tc>
      </w:tr>
      <w:tr w:rsidR="0064507B" w:rsidRPr="00112DB6" w14:paraId="20F56233" w14:textId="77777777" w:rsidTr="009E51EE">
        <w:tc>
          <w:tcPr>
            <w:tcW w:w="3544" w:type="dxa"/>
            <w:tcBorders>
              <w:top w:val="single" w:sz="4" w:space="0" w:color="auto"/>
              <w:bottom w:val="single" w:sz="4" w:space="0" w:color="auto"/>
            </w:tcBorders>
            <w:vAlign w:val="bottom"/>
          </w:tcPr>
          <w:p w14:paraId="27702D74"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Digestive system</w:t>
            </w:r>
          </w:p>
        </w:tc>
        <w:tc>
          <w:tcPr>
            <w:tcW w:w="1559" w:type="dxa"/>
            <w:tcBorders>
              <w:top w:val="single" w:sz="4" w:space="0" w:color="auto"/>
              <w:bottom w:val="single" w:sz="4" w:space="0" w:color="auto"/>
            </w:tcBorders>
            <w:vAlign w:val="bottom"/>
          </w:tcPr>
          <w:p w14:paraId="158C737D"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48374CAA"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0C84EFD3"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62F131DD"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5A12DEAC"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376F22AE" w14:textId="77777777" w:rsidTr="009E51EE">
        <w:tc>
          <w:tcPr>
            <w:tcW w:w="3544" w:type="dxa"/>
            <w:tcBorders>
              <w:top w:val="single" w:sz="4" w:space="0" w:color="auto"/>
              <w:bottom w:val="single" w:sz="4" w:space="0" w:color="auto"/>
            </w:tcBorders>
            <w:vAlign w:val="bottom"/>
          </w:tcPr>
          <w:p w14:paraId="00C4FFB8"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 xml:space="preserve">Esophageal atresia with or without </w:t>
            </w:r>
            <w:proofErr w:type="spellStart"/>
            <w:r w:rsidRPr="00112DB6">
              <w:rPr>
                <w:rFonts w:cs="Times New Roman"/>
                <w:sz w:val="20"/>
                <w:szCs w:val="20"/>
                <w:lang w:val="en-US"/>
              </w:rPr>
              <w:t>tracheo</w:t>
            </w:r>
            <w:proofErr w:type="spellEnd"/>
            <w:r w:rsidRPr="00112DB6">
              <w:rPr>
                <w:rFonts w:cs="Times New Roman"/>
                <w:sz w:val="20"/>
                <w:szCs w:val="20"/>
                <w:lang w:val="en-US"/>
              </w:rPr>
              <w:t>-esophageal fistula</w:t>
            </w:r>
          </w:p>
        </w:tc>
        <w:tc>
          <w:tcPr>
            <w:tcW w:w="1559" w:type="dxa"/>
            <w:tcBorders>
              <w:top w:val="single" w:sz="4" w:space="0" w:color="auto"/>
              <w:bottom w:val="single" w:sz="4" w:space="0" w:color="auto"/>
            </w:tcBorders>
            <w:vAlign w:val="bottom"/>
          </w:tcPr>
          <w:p w14:paraId="2092EA5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1004</w:t>
            </w:r>
          </w:p>
        </w:tc>
        <w:tc>
          <w:tcPr>
            <w:tcW w:w="1276" w:type="dxa"/>
            <w:tcBorders>
              <w:top w:val="single" w:sz="4" w:space="0" w:color="auto"/>
              <w:bottom w:val="single" w:sz="4" w:space="0" w:color="auto"/>
            </w:tcBorders>
            <w:vAlign w:val="bottom"/>
          </w:tcPr>
          <w:p w14:paraId="3F35FEA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122</w:t>
            </w:r>
          </w:p>
        </w:tc>
        <w:tc>
          <w:tcPr>
            <w:tcW w:w="2693" w:type="dxa"/>
            <w:tcBorders>
              <w:top w:val="single" w:sz="4" w:space="0" w:color="auto"/>
              <w:bottom w:val="single" w:sz="4" w:space="0" w:color="auto"/>
            </w:tcBorders>
            <w:vAlign w:val="bottom"/>
          </w:tcPr>
          <w:p w14:paraId="15771E3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89.5 (86.3-92.7)</w:t>
            </w:r>
          </w:p>
        </w:tc>
        <w:tc>
          <w:tcPr>
            <w:tcW w:w="2268" w:type="dxa"/>
            <w:tcBorders>
              <w:top w:val="single" w:sz="4" w:space="0" w:color="auto"/>
              <w:bottom w:val="single" w:sz="4" w:space="0" w:color="auto"/>
            </w:tcBorders>
            <w:vAlign w:val="bottom"/>
          </w:tcPr>
          <w:p w14:paraId="15CF793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44.9</w:t>
            </w:r>
          </w:p>
        </w:tc>
        <w:tc>
          <w:tcPr>
            <w:tcW w:w="2268" w:type="dxa"/>
            <w:tcBorders>
              <w:top w:val="single" w:sz="4" w:space="0" w:color="auto"/>
              <w:bottom w:val="single" w:sz="4" w:space="0" w:color="auto"/>
            </w:tcBorders>
            <w:vAlign w:val="bottom"/>
          </w:tcPr>
          <w:p w14:paraId="536A7DF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18.0</w:t>
            </w:r>
          </w:p>
        </w:tc>
      </w:tr>
      <w:tr w:rsidR="0064507B" w:rsidRPr="00112DB6" w14:paraId="7583775D" w14:textId="77777777" w:rsidTr="009E51EE">
        <w:tc>
          <w:tcPr>
            <w:tcW w:w="3544" w:type="dxa"/>
            <w:tcBorders>
              <w:top w:val="single" w:sz="4" w:space="0" w:color="auto"/>
              <w:bottom w:val="single" w:sz="4" w:space="0" w:color="auto"/>
            </w:tcBorders>
            <w:vAlign w:val="bottom"/>
          </w:tcPr>
          <w:p w14:paraId="3D923EA9"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Duodenal atresia or stenosis</w:t>
            </w:r>
          </w:p>
        </w:tc>
        <w:tc>
          <w:tcPr>
            <w:tcW w:w="1559" w:type="dxa"/>
            <w:tcBorders>
              <w:top w:val="single" w:sz="4" w:space="0" w:color="auto"/>
              <w:bottom w:val="single" w:sz="4" w:space="0" w:color="auto"/>
            </w:tcBorders>
            <w:vAlign w:val="bottom"/>
          </w:tcPr>
          <w:p w14:paraId="2E7A9DE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562</w:t>
            </w:r>
          </w:p>
        </w:tc>
        <w:tc>
          <w:tcPr>
            <w:tcW w:w="1276" w:type="dxa"/>
            <w:tcBorders>
              <w:top w:val="single" w:sz="4" w:space="0" w:color="auto"/>
              <w:bottom w:val="single" w:sz="4" w:space="0" w:color="auto"/>
            </w:tcBorders>
            <w:vAlign w:val="bottom"/>
          </w:tcPr>
          <w:p w14:paraId="31079B5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39</w:t>
            </w:r>
          </w:p>
        </w:tc>
        <w:tc>
          <w:tcPr>
            <w:tcW w:w="2693" w:type="dxa"/>
            <w:tcBorders>
              <w:top w:val="single" w:sz="4" w:space="0" w:color="auto"/>
              <w:bottom w:val="single" w:sz="4" w:space="0" w:color="auto"/>
            </w:tcBorders>
            <w:vAlign w:val="bottom"/>
          </w:tcPr>
          <w:p w14:paraId="0BDEB02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93.6 (90.5-96.8)</w:t>
            </w:r>
          </w:p>
        </w:tc>
        <w:tc>
          <w:tcPr>
            <w:tcW w:w="2268" w:type="dxa"/>
            <w:tcBorders>
              <w:top w:val="single" w:sz="4" w:space="0" w:color="auto"/>
              <w:bottom w:val="single" w:sz="4" w:space="0" w:color="auto"/>
            </w:tcBorders>
            <w:vAlign w:val="bottom"/>
          </w:tcPr>
          <w:p w14:paraId="791851F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48.0</w:t>
            </w:r>
          </w:p>
        </w:tc>
        <w:tc>
          <w:tcPr>
            <w:tcW w:w="2268" w:type="dxa"/>
            <w:tcBorders>
              <w:top w:val="single" w:sz="4" w:space="0" w:color="auto"/>
              <w:bottom w:val="single" w:sz="4" w:space="0" w:color="auto"/>
            </w:tcBorders>
            <w:vAlign w:val="bottom"/>
          </w:tcPr>
          <w:p w14:paraId="350E028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15.4</w:t>
            </w:r>
          </w:p>
        </w:tc>
      </w:tr>
      <w:tr w:rsidR="0064507B" w:rsidRPr="00112DB6" w14:paraId="66DF7392" w14:textId="77777777" w:rsidTr="009E51EE">
        <w:tc>
          <w:tcPr>
            <w:tcW w:w="3544" w:type="dxa"/>
            <w:tcBorders>
              <w:top w:val="single" w:sz="4" w:space="0" w:color="auto"/>
              <w:bottom w:val="single" w:sz="4" w:space="0" w:color="auto"/>
            </w:tcBorders>
            <w:vAlign w:val="bottom"/>
          </w:tcPr>
          <w:p w14:paraId="4F871CD3" w14:textId="77777777" w:rsidR="0064507B" w:rsidRPr="00112DB6" w:rsidRDefault="0064507B" w:rsidP="009E51EE">
            <w:pPr>
              <w:spacing w:before="0" w:after="0" w:line="240" w:lineRule="auto"/>
              <w:ind w:left="170"/>
              <w:rPr>
                <w:rFonts w:cs="Times New Roman"/>
                <w:sz w:val="20"/>
                <w:szCs w:val="20"/>
                <w:lang w:val="en-US"/>
              </w:rPr>
            </w:pPr>
            <w:r w:rsidRPr="00112DB6">
              <w:rPr>
                <w:rFonts w:cs="Times New Roman"/>
                <w:sz w:val="20"/>
                <w:szCs w:val="20"/>
                <w:lang w:val="en-US"/>
              </w:rPr>
              <w:t>Atresia or stenosis of other parts of small intestine</w:t>
            </w:r>
          </w:p>
        </w:tc>
        <w:tc>
          <w:tcPr>
            <w:tcW w:w="1559" w:type="dxa"/>
            <w:tcBorders>
              <w:top w:val="single" w:sz="4" w:space="0" w:color="auto"/>
              <w:bottom w:val="single" w:sz="4" w:space="0" w:color="auto"/>
            </w:tcBorders>
            <w:vAlign w:val="bottom"/>
          </w:tcPr>
          <w:p w14:paraId="0D69B62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406</w:t>
            </w:r>
          </w:p>
        </w:tc>
        <w:tc>
          <w:tcPr>
            <w:tcW w:w="1276" w:type="dxa"/>
            <w:tcBorders>
              <w:top w:val="single" w:sz="4" w:space="0" w:color="auto"/>
              <w:bottom w:val="single" w:sz="4" w:space="0" w:color="auto"/>
            </w:tcBorders>
            <w:vAlign w:val="bottom"/>
          </w:tcPr>
          <w:p w14:paraId="2B7EA8E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32</w:t>
            </w:r>
          </w:p>
        </w:tc>
        <w:tc>
          <w:tcPr>
            <w:tcW w:w="2693" w:type="dxa"/>
            <w:tcBorders>
              <w:top w:val="single" w:sz="4" w:space="0" w:color="auto"/>
              <w:bottom w:val="single" w:sz="4" w:space="0" w:color="auto"/>
            </w:tcBorders>
            <w:vAlign w:val="bottom"/>
          </w:tcPr>
          <w:p w14:paraId="3523580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94.1 (91.0-97.3)</w:t>
            </w:r>
          </w:p>
        </w:tc>
        <w:tc>
          <w:tcPr>
            <w:tcW w:w="2268" w:type="dxa"/>
            <w:tcBorders>
              <w:top w:val="single" w:sz="4" w:space="0" w:color="auto"/>
              <w:bottom w:val="single" w:sz="4" w:space="0" w:color="auto"/>
            </w:tcBorders>
            <w:vAlign w:val="bottom"/>
          </w:tcPr>
          <w:p w14:paraId="27F3D1E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69.5</w:t>
            </w:r>
          </w:p>
        </w:tc>
        <w:tc>
          <w:tcPr>
            <w:tcW w:w="2268" w:type="dxa"/>
            <w:tcBorders>
              <w:top w:val="single" w:sz="4" w:space="0" w:color="auto"/>
              <w:bottom w:val="single" w:sz="4" w:space="0" w:color="auto"/>
            </w:tcBorders>
            <w:vAlign w:val="bottom"/>
          </w:tcPr>
          <w:p w14:paraId="4FC8D6A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53.1</w:t>
            </w:r>
          </w:p>
        </w:tc>
      </w:tr>
      <w:tr w:rsidR="0064507B" w:rsidRPr="00112DB6" w14:paraId="5D1C4AA1" w14:textId="77777777" w:rsidTr="009E51EE">
        <w:tc>
          <w:tcPr>
            <w:tcW w:w="3544" w:type="dxa"/>
            <w:tcBorders>
              <w:top w:val="single" w:sz="4" w:space="0" w:color="auto"/>
              <w:bottom w:val="single" w:sz="4" w:space="0" w:color="auto"/>
            </w:tcBorders>
            <w:vAlign w:val="bottom"/>
          </w:tcPr>
          <w:p w14:paraId="25619D01"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Ano</w:t>
            </w:r>
            <w:proofErr w:type="spellEnd"/>
            <w:r w:rsidRPr="00112DB6">
              <w:rPr>
                <w:rFonts w:cs="Times New Roman"/>
                <w:sz w:val="20"/>
                <w:szCs w:val="20"/>
                <w:lang w:val="en-US"/>
              </w:rPr>
              <w:t>-rectal atresia and stenosis</w:t>
            </w:r>
          </w:p>
        </w:tc>
        <w:tc>
          <w:tcPr>
            <w:tcW w:w="1559" w:type="dxa"/>
            <w:tcBorders>
              <w:top w:val="single" w:sz="4" w:space="0" w:color="auto"/>
              <w:bottom w:val="single" w:sz="4" w:space="0" w:color="auto"/>
            </w:tcBorders>
            <w:vAlign w:val="bottom"/>
          </w:tcPr>
          <w:p w14:paraId="2CD0F79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1097</w:t>
            </w:r>
          </w:p>
        </w:tc>
        <w:tc>
          <w:tcPr>
            <w:tcW w:w="1276" w:type="dxa"/>
            <w:tcBorders>
              <w:top w:val="single" w:sz="4" w:space="0" w:color="auto"/>
              <w:bottom w:val="single" w:sz="4" w:space="0" w:color="auto"/>
            </w:tcBorders>
            <w:vAlign w:val="bottom"/>
          </w:tcPr>
          <w:p w14:paraId="67B75FF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91</w:t>
            </w:r>
          </w:p>
        </w:tc>
        <w:tc>
          <w:tcPr>
            <w:tcW w:w="2693" w:type="dxa"/>
            <w:tcBorders>
              <w:top w:val="single" w:sz="4" w:space="0" w:color="auto"/>
              <w:bottom w:val="single" w:sz="4" w:space="0" w:color="auto"/>
            </w:tcBorders>
            <w:vAlign w:val="bottom"/>
          </w:tcPr>
          <w:p w14:paraId="00E8F66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92.7 (90.4-95.1)</w:t>
            </w:r>
          </w:p>
        </w:tc>
        <w:tc>
          <w:tcPr>
            <w:tcW w:w="2268" w:type="dxa"/>
            <w:tcBorders>
              <w:top w:val="single" w:sz="4" w:space="0" w:color="auto"/>
              <w:bottom w:val="single" w:sz="4" w:space="0" w:color="auto"/>
            </w:tcBorders>
            <w:vAlign w:val="bottom"/>
          </w:tcPr>
          <w:p w14:paraId="044169F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39.4</w:t>
            </w:r>
          </w:p>
        </w:tc>
        <w:tc>
          <w:tcPr>
            <w:tcW w:w="2268" w:type="dxa"/>
            <w:tcBorders>
              <w:top w:val="single" w:sz="4" w:space="0" w:color="auto"/>
              <w:bottom w:val="single" w:sz="4" w:space="0" w:color="auto"/>
            </w:tcBorders>
            <w:vAlign w:val="bottom"/>
          </w:tcPr>
          <w:p w14:paraId="5C8B0A70"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8.8</w:t>
            </w:r>
          </w:p>
        </w:tc>
      </w:tr>
      <w:tr w:rsidR="0064507B" w:rsidRPr="00112DB6" w14:paraId="482A83F4" w14:textId="77777777" w:rsidTr="009E51EE">
        <w:tc>
          <w:tcPr>
            <w:tcW w:w="3544" w:type="dxa"/>
            <w:tcBorders>
              <w:top w:val="single" w:sz="4" w:space="0" w:color="auto"/>
              <w:bottom w:val="single" w:sz="4" w:space="0" w:color="auto"/>
            </w:tcBorders>
            <w:vAlign w:val="bottom"/>
          </w:tcPr>
          <w:p w14:paraId="2167D835"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Diaphragmatic hernia</w:t>
            </w:r>
          </w:p>
        </w:tc>
        <w:tc>
          <w:tcPr>
            <w:tcW w:w="1559" w:type="dxa"/>
            <w:tcBorders>
              <w:top w:val="single" w:sz="4" w:space="0" w:color="auto"/>
              <w:bottom w:val="single" w:sz="4" w:space="0" w:color="auto"/>
            </w:tcBorders>
            <w:vAlign w:val="bottom"/>
          </w:tcPr>
          <w:p w14:paraId="27DE3B4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830</w:t>
            </w:r>
          </w:p>
        </w:tc>
        <w:tc>
          <w:tcPr>
            <w:tcW w:w="1276" w:type="dxa"/>
            <w:tcBorders>
              <w:top w:val="single" w:sz="4" w:space="0" w:color="auto"/>
              <w:bottom w:val="single" w:sz="4" w:space="0" w:color="auto"/>
            </w:tcBorders>
            <w:vAlign w:val="bottom"/>
          </w:tcPr>
          <w:p w14:paraId="1395CED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249</w:t>
            </w:r>
          </w:p>
        </w:tc>
        <w:tc>
          <w:tcPr>
            <w:tcW w:w="2693" w:type="dxa"/>
            <w:tcBorders>
              <w:top w:val="single" w:sz="4" w:space="0" w:color="auto"/>
              <w:bottom w:val="single" w:sz="4" w:space="0" w:color="auto"/>
            </w:tcBorders>
            <w:vAlign w:val="bottom"/>
          </w:tcPr>
          <w:p w14:paraId="752CEE1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71.1 (67.4-75.0)</w:t>
            </w:r>
          </w:p>
        </w:tc>
        <w:tc>
          <w:tcPr>
            <w:tcW w:w="2268" w:type="dxa"/>
            <w:tcBorders>
              <w:top w:val="single" w:sz="4" w:space="0" w:color="auto"/>
              <w:bottom w:val="single" w:sz="4" w:space="0" w:color="auto"/>
            </w:tcBorders>
            <w:vAlign w:val="bottom"/>
          </w:tcPr>
          <w:p w14:paraId="57B6B5F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68.1</w:t>
            </w:r>
          </w:p>
        </w:tc>
        <w:tc>
          <w:tcPr>
            <w:tcW w:w="2268" w:type="dxa"/>
            <w:tcBorders>
              <w:top w:val="single" w:sz="4" w:space="0" w:color="auto"/>
              <w:bottom w:val="single" w:sz="4" w:space="0" w:color="auto"/>
            </w:tcBorders>
            <w:vAlign w:val="bottom"/>
          </w:tcPr>
          <w:p w14:paraId="17703EE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60.2</w:t>
            </w:r>
          </w:p>
        </w:tc>
      </w:tr>
      <w:tr w:rsidR="0064507B" w:rsidRPr="00112DB6" w14:paraId="505BA599" w14:textId="77777777" w:rsidTr="009E51EE">
        <w:tc>
          <w:tcPr>
            <w:tcW w:w="3544" w:type="dxa"/>
            <w:tcBorders>
              <w:top w:val="single" w:sz="4" w:space="0" w:color="auto"/>
              <w:bottom w:val="single" w:sz="4" w:space="0" w:color="auto"/>
            </w:tcBorders>
            <w:vAlign w:val="bottom"/>
          </w:tcPr>
          <w:p w14:paraId="22150587"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Abdominal wall</w:t>
            </w:r>
          </w:p>
        </w:tc>
        <w:tc>
          <w:tcPr>
            <w:tcW w:w="1559" w:type="dxa"/>
            <w:tcBorders>
              <w:top w:val="single" w:sz="4" w:space="0" w:color="auto"/>
              <w:bottom w:val="single" w:sz="4" w:space="0" w:color="auto"/>
            </w:tcBorders>
            <w:vAlign w:val="bottom"/>
          </w:tcPr>
          <w:p w14:paraId="1B81D660"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5F09DB8B"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183845F4"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41E06F0B"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5A10C4D2"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1D547AB6" w14:textId="77777777" w:rsidTr="009E51EE">
        <w:tc>
          <w:tcPr>
            <w:tcW w:w="3544" w:type="dxa"/>
            <w:tcBorders>
              <w:top w:val="single" w:sz="4" w:space="0" w:color="auto"/>
              <w:bottom w:val="single" w:sz="4" w:space="0" w:color="auto"/>
            </w:tcBorders>
            <w:vAlign w:val="bottom"/>
          </w:tcPr>
          <w:p w14:paraId="66ECBB57"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Gastroschisis</w:t>
            </w:r>
            <w:proofErr w:type="spellEnd"/>
          </w:p>
        </w:tc>
        <w:tc>
          <w:tcPr>
            <w:tcW w:w="1559" w:type="dxa"/>
            <w:tcBorders>
              <w:top w:val="single" w:sz="4" w:space="0" w:color="auto"/>
              <w:bottom w:val="single" w:sz="4" w:space="0" w:color="auto"/>
            </w:tcBorders>
            <w:vAlign w:val="bottom"/>
          </w:tcPr>
          <w:p w14:paraId="22DBF3D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1056</w:t>
            </w:r>
          </w:p>
        </w:tc>
        <w:tc>
          <w:tcPr>
            <w:tcW w:w="1276" w:type="dxa"/>
            <w:tcBorders>
              <w:top w:val="single" w:sz="4" w:space="0" w:color="auto"/>
              <w:bottom w:val="single" w:sz="4" w:space="0" w:color="auto"/>
            </w:tcBorders>
            <w:vAlign w:val="bottom"/>
          </w:tcPr>
          <w:p w14:paraId="6B27376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48</w:t>
            </w:r>
          </w:p>
        </w:tc>
        <w:tc>
          <w:tcPr>
            <w:tcW w:w="2693" w:type="dxa"/>
            <w:tcBorders>
              <w:top w:val="single" w:sz="4" w:space="0" w:color="auto"/>
              <w:bottom w:val="single" w:sz="4" w:space="0" w:color="auto"/>
            </w:tcBorders>
            <w:vAlign w:val="bottom"/>
          </w:tcPr>
          <w:p w14:paraId="5A856D9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96.0 (93.9-98.2)</w:t>
            </w:r>
          </w:p>
        </w:tc>
        <w:tc>
          <w:tcPr>
            <w:tcW w:w="2268" w:type="dxa"/>
            <w:tcBorders>
              <w:top w:val="single" w:sz="4" w:space="0" w:color="auto"/>
              <w:bottom w:val="single" w:sz="4" w:space="0" w:color="auto"/>
            </w:tcBorders>
            <w:vAlign w:val="bottom"/>
          </w:tcPr>
          <w:p w14:paraId="4BCB225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89.5</w:t>
            </w:r>
          </w:p>
        </w:tc>
        <w:tc>
          <w:tcPr>
            <w:tcW w:w="2268" w:type="dxa"/>
            <w:tcBorders>
              <w:top w:val="single" w:sz="4" w:space="0" w:color="auto"/>
              <w:bottom w:val="single" w:sz="4" w:space="0" w:color="auto"/>
            </w:tcBorders>
            <w:vAlign w:val="bottom"/>
          </w:tcPr>
          <w:p w14:paraId="4AF1123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64.6</w:t>
            </w:r>
          </w:p>
        </w:tc>
      </w:tr>
      <w:tr w:rsidR="0064507B" w:rsidRPr="00112DB6" w14:paraId="5CDAA7C5" w14:textId="77777777" w:rsidTr="009E51EE">
        <w:tc>
          <w:tcPr>
            <w:tcW w:w="3544" w:type="dxa"/>
            <w:tcBorders>
              <w:top w:val="single" w:sz="4" w:space="0" w:color="auto"/>
              <w:bottom w:val="single" w:sz="4" w:space="0" w:color="auto"/>
            </w:tcBorders>
            <w:vAlign w:val="bottom"/>
          </w:tcPr>
          <w:p w14:paraId="4CF44A78"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Omphalocele</w:t>
            </w:r>
            <w:proofErr w:type="spellEnd"/>
          </w:p>
        </w:tc>
        <w:tc>
          <w:tcPr>
            <w:tcW w:w="1559" w:type="dxa"/>
            <w:tcBorders>
              <w:top w:val="single" w:sz="4" w:space="0" w:color="auto"/>
              <w:bottom w:val="single" w:sz="4" w:space="0" w:color="auto"/>
            </w:tcBorders>
            <w:vAlign w:val="bottom"/>
          </w:tcPr>
          <w:p w14:paraId="52D9B9D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516</w:t>
            </w:r>
          </w:p>
        </w:tc>
        <w:tc>
          <w:tcPr>
            <w:tcW w:w="1276" w:type="dxa"/>
            <w:tcBorders>
              <w:top w:val="single" w:sz="4" w:space="0" w:color="auto"/>
              <w:bottom w:val="single" w:sz="4" w:space="0" w:color="auto"/>
            </w:tcBorders>
            <w:vAlign w:val="bottom"/>
          </w:tcPr>
          <w:p w14:paraId="05BAEAD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90</w:t>
            </w:r>
          </w:p>
        </w:tc>
        <w:tc>
          <w:tcPr>
            <w:tcW w:w="2693" w:type="dxa"/>
            <w:tcBorders>
              <w:top w:val="single" w:sz="4" w:space="0" w:color="auto"/>
              <w:bottom w:val="single" w:sz="4" w:space="0" w:color="auto"/>
            </w:tcBorders>
            <w:vAlign w:val="bottom"/>
          </w:tcPr>
          <w:p w14:paraId="6ED0C28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83.9 (79.5-88.5)</w:t>
            </w:r>
          </w:p>
        </w:tc>
        <w:tc>
          <w:tcPr>
            <w:tcW w:w="2268" w:type="dxa"/>
            <w:tcBorders>
              <w:top w:val="single" w:sz="4" w:space="0" w:color="auto"/>
              <w:bottom w:val="single" w:sz="4" w:space="0" w:color="auto"/>
            </w:tcBorders>
            <w:vAlign w:val="bottom"/>
          </w:tcPr>
          <w:p w14:paraId="59C38F4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53.1</w:t>
            </w:r>
          </w:p>
        </w:tc>
        <w:tc>
          <w:tcPr>
            <w:tcW w:w="2268" w:type="dxa"/>
            <w:tcBorders>
              <w:top w:val="single" w:sz="4" w:space="0" w:color="auto"/>
              <w:bottom w:val="single" w:sz="4" w:space="0" w:color="auto"/>
            </w:tcBorders>
            <w:vAlign w:val="bottom"/>
          </w:tcPr>
          <w:p w14:paraId="3E5BA52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25.6</w:t>
            </w:r>
          </w:p>
        </w:tc>
      </w:tr>
      <w:tr w:rsidR="0064507B" w:rsidRPr="00112DB6" w14:paraId="4E7F1B2F" w14:textId="77777777" w:rsidTr="009E51EE">
        <w:tc>
          <w:tcPr>
            <w:tcW w:w="3544" w:type="dxa"/>
            <w:tcBorders>
              <w:top w:val="single" w:sz="4" w:space="0" w:color="auto"/>
              <w:bottom w:val="single" w:sz="4" w:space="0" w:color="auto"/>
            </w:tcBorders>
            <w:vAlign w:val="bottom"/>
          </w:tcPr>
          <w:p w14:paraId="4B632707"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Urinary system</w:t>
            </w:r>
          </w:p>
        </w:tc>
        <w:tc>
          <w:tcPr>
            <w:tcW w:w="1559" w:type="dxa"/>
            <w:tcBorders>
              <w:top w:val="single" w:sz="4" w:space="0" w:color="auto"/>
              <w:bottom w:val="single" w:sz="4" w:space="0" w:color="auto"/>
            </w:tcBorders>
            <w:vAlign w:val="bottom"/>
          </w:tcPr>
          <w:p w14:paraId="35DD180D"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7DF082C3"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0ED55D17"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2A6104B6"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66FE8D49"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2A7E7CDF" w14:textId="77777777" w:rsidTr="009E51EE">
        <w:tc>
          <w:tcPr>
            <w:tcW w:w="3544" w:type="dxa"/>
            <w:tcBorders>
              <w:top w:val="single" w:sz="4" w:space="0" w:color="auto"/>
              <w:bottom w:val="single" w:sz="4" w:space="0" w:color="auto"/>
            </w:tcBorders>
            <w:vAlign w:val="bottom"/>
          </w:tcPr>
          <w:p w14:paraId="7D42C8F7"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lastRenderedPageBreak/>
              <w:t>Multicystic</w:t>
            </w:r>
            <w:proofErr w:type="spellEnd"/>
            <w:r w:rsidRPr="00112DB6">
              <w:rPr>
                <w:rFonts w:cs="Times New Roman"/>
                <w:sz w:val="20"/>
                <w:szCs w:val="20"/>
                <w:lang w:val="en-US"/>
              </w:rPr>
              <w:t xml:space="preserve"> renal dysplasia</w:t>
            </w:r>
          </w:p>
        </w:tc>
        <w:tc>
          <w:tcPr>
            <w:tcW w:w="1559" w:type="dxa"/>
            <w:tcBorders>
              <w:top w:val="single" w:sz="4" w:space="0" w:color="auto"/>
              <w:bottom w:val="single" w:sz="4" w:space="0" w:color="auto"/>
            </w:tcBorders>
            <w:vAlign w:val="bottom"/>
          </w:tcPr>
          <w:p w14:paraId="0624A558"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1277</w:t>
            </w:r>
          </w:p>
        </w:tc>
        <w:tc>
          <w:tcPr>
            <w:tcW w:w="1276" w:type="dxa"/>
            <w:tcBorders>
              <w:top w:val="single" w:sz="4" w:space="0" w:color="auto"/>
              <w:bottom w:val="single" w:sz="4" w:space="0" w:color="auto"/>
            </w:tcBorders>
            <w:vAlign w:val="bottom"/>
          </w:tcPr>
          <w:p w14:paraId="46E7CCF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79</w:t>
            </w:r>
          </w:p>
        </w:tc>
        <w:tc>
          <w:tcPr>
            <w:tcW w:w="2693" w:type="dxa"/>
            <w:tcBorders>
              <w:top w:val="single" w:sz="4" w:space="0" w:color="auto"/>
              <w:bottom w:val="single" w:sz="4" w:space="0" w:color="auto"/>
            </w:tcBorders>
            <w:vAlign w:val="bottom"/>
          </w:tcPr>
          <w:p w14:paraId="45AE780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94.5 (93.1-95.9)</w:t>
            </w:r>
          </w:p>
        </w:tc>
        <w:tc>
          <w:tcPr>
            <w:tcW w:w="2268" w:type="dxa"/>
            <w:tcBorders>
              <w:top w:val="single" w:sz="4" w:space="0" w:color="auto"/>
              <w:bottom w:val="single" w:sz="4" w:space="0" w:color="auto"/>
            </w:tcBorders>
            <w:vAlign w:val="bottom"/>
          </w:tcPr>
          <w:p w14:paraId="513F2751"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83.8</w:t>
            </w:r>
          </w:p>
        </w:tc>
        <w:tc>
          <w:tcPr>
            <w:tcW w:w="2268" w:type="dxa"/>
            <w:tcBorders>
              <w:top w:val="single" w:sz="4" w:space="0" w:color="auto"/>
              <w:bottom w:val="single" w:sz="4" w:space="0" w:color="auto"/>
            </w:tcBorders>
            <w:vAlign w:val="bottom"/>
          </w:tcPr>
          <w:p w14:paraId="7ED41D8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36.7</w:t>
            </w:r>
          </w:p>
        </w:tc>
      </w:tr>
      <w:tr w:rsidR="0064507B" w:rsidRPr="00112DB6" w14:paraId="4E45DA41" w14:textId="77777777" w:rsidTr="009E51EE">
        <w:tc>
          <w:tcPr>
            <w:tcW w:w="3544" w:type="dxa"/>
            <w:tcBorders>
              <w:top w:val="single" w:sz="4" w:space="0" w:color="auto"/>
              <w:bottom w:val="single" w:sz="4" w:space="0" w:color="auto"/>
            </w:tcBorders>
            <w:vAlign w:val="bottom"/>
          </w:tcPr>
          <w:p w14:paraId="518937F9"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 xml:space="preserve">Congenital </w:t>
            </w:r>
            <w:proofErr w:type="spellStart"/>
            <w:r w:rsidRPr="00112DB6">
              <w:rPr>
                <w:rFonts w:cs="Times New Roman"/>
                <w:sz w:val="20"/>
                <w:szCs w:val="20"/>
                <w:lang w:val="en-US"/>
              </w:rPr>
              <w:t>hydronephrosis</w:t>
            </w:r>
            <w:proofErr w:type="spellEnd"/>
          </w:p>
        </w:tc>
        <w:tc>
          <w:tcPr>
            <w:tcW w:w="1559" w:type="dxa"/>
            <w:tcBorders>
              <w:top w:val="single" w:sz="4" w:space="0" w:color="auto"/>
              <w:bottom w:val="single" w:sz="4" w:space="0" w:color="auto"/>
            </w:tcBorders>
            <w:vAlign w:val="bottom"/>
          </w:tcPr>
          <w:p w14:paraId="183537C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5699</w:t>
            </w:r>
          </w:p>
        </w:tc>
        <w:tc>
          <w:tcPr>
            <w:tcW w:w="1276" w:type="dxa"/>
            <w:tcBorders>
              <w:top w:val="single" w:sz="4" w:space="0" w:color="auto"/>
              <w:bottom w:val="single" w:sz="4" w:space="0" w:color="auto"/>
            </w:tcBorders>
            <w:vAlign w:val="bottom"/>
          </w:tcPr>
          <w:p w14:paraId="4CAAA65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124</w:t>
            </w:r>
          </w:p>
        </w:tc>
        <w:tc>
          <w:tcPr>
            <w:tcW w:w="2693" w:type="dxa"/>
            <w:tcBorders>
              <w:top w:val="single" w:sz="4" w:space="0" w:color="auto"/>
              <w:bottom w:val="single" w:sz="4" w:space="0" w:color="auto"/>
            </w:tcBorders>
            <w:vAlign w:val="bottom"/>
          </w:tcPr>
          <w:p w14:paraId="49BC1C8A"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98.1 (97.7-98.6)</w:t>
            </w:r>
          </w:p>
        </w:tc>
        <w:tc>
          <w:tcPr>
            <w:tcW w:w="2268" w:type="dxa"/>
            <w:tcBorders>
              <w:top w:val="single" w:sz="4" w:space="0" w:color="auto"/>
              <w:bottom w:val="single" w:sz="4" w:space="0" w:color="auto"/>
            </w:tcBorders>
            <w:vAlign w:val="bottom"/>
          </w:tcPr>
          <w:p w14:paraId="509FB82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84.4</w:t>
            </w:r>
          </w:p>
        </w:tc>
        <w:tc>
          <w:tcPr>
            <w:tcW w:w="2268" w:type="dxa"/>
            <w:tcBorders>
              <w:top w:val="single" w:sz="4" w:space="0" w:color="auto"/>
              <w:bottom w:val="single" w:sz="4" w:space="0" w:color="auto"/>
            </w:tcBorders>
            <w:vAlign w:val="bottom"/>
          </w:tcPr>
          <w:p w14:paraId="1A6921E4"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23.4</w:t>
            </w:r>
          </w:p>
        </w:tc>
      </w:tr>
      <w:tr w:rsidR="0064507B" w:rsidRPr="00112DB6" w14:paraId="65156849" w14:textId="77777777" w:rsidTr="009E51EE">
        <w:tc>
          <w:tcPr>
            <w:tcW w:w="3544" w:type="dxa"/>
            <w:tcBorders>
              <w:top w:val="single" w:sz="4" w:space="0" w:color="auto"/>
              <w:bottom w:val="single" w:sz="4" w:space="0" w:color="auto"/>
            </w:tcBorders>
            <w:vAlign w:val="bottom"/>
          </w:tcPr>
          <w:p w14:paraId="68D2D2D1"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Genital</w:t>
            </w:r>
          </w:p>
        </w:tc>
        <w:tc>
          <w:tcPr>
            <w:tcW w:w="1559" w:type="dxa"/>
            <w:tcBorders>
              <w:top w:val="single" w:sz="4" w:space="0" w:color="auto"/>
              <w:bottom w:val="single" w:sz="4" w:space="0" w:color="auto"/>
            </w:tcBorders>
            <w:vAlign w:val="bottom"/>
          </w:tcPr>
          <w:p w14:paraId="7AEE88A5"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2BFD1149"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268CF45D"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08875B45"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4BC5247B"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76771A6C" w14:textId="77777777" w:rsidTr="009E51EE">
        <w:tc>
          <w:tcPr>
            <w:tcW w:w="3544" w:type="dxa"/>
            <w:tcBorders>
              <w:top w:val="single" w:sz="4" w:space="0" w:color="auto"/>
              <w:bottom w:val="single" w:sz="4" w:space="0" w:color="auto"/>
            </w:tcBorders>
            <w:vAlign w:val="bottom"/>
          </w:tcPr>
          <w:p w14:paraId="014E9E0D"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Hypospadias</w:t>
            </w:r>
          </w:p>
        </w:tc>
        <w:tc>
          <w:tcPr>
            <w:tcW w:w="1559" w:type="dxa"/>
            <w:tcBorders>
              <w:top w:val="single" w:sz="4" w:space="0" w:color="auto"/>
              <w:bottom w:val="single" w:sz="4" w:space="0" w:color="auto"/>
            </w:tcBorders>
            <w:vAlign w:val="bottom"/>
          </w:tcPr>
          <w:p w14:paraId="401210E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6574</w:t>
            </w:r>
          </w:p>
        </w:tc>
        <w:tc>
          <w:tcPr>
            <w:tcW w:w="1276" w:type="dxa"/>
            <w:tcBorders>
              <w:top w:val="single" w:sz="4" w:space="0" w:color="auto"/>
              <w:bottom w:val="single" w:sz="4" w:space="0" w:color="auto"/>
            </w:tcBorders>
            <w:vAlign w:val="bottom"/>
          </w:tcPr>
          <w:p w14:paraId="101FEA0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87</w:t>
            </w:r>
          </w:p>
        </w:tc>
        <w:tc>
          <w:tcPr>
            <w:tcW w:w="2693" w:type="dxa"/>
            <w:tcBorders>
              <w:top w:val="single" w:sz="4" w:space="0" w:color="auto"/>
              <w:bottom w:val="single" w:sz="4" w:space="0" w:color="auto"/>
            </w:tcBorders>
            <w:vAlign w:val="bottom"/>
          </w:tcPr>
          <w:p w14:paraId="3362E27E"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99.0 (98.6-99.3)</w:t>
            </w:r>
          </w:p>
        </w:tc>
        <w:tc>
          <w:tcPr>
            <w:tcW w:w="2268" w:type="dxa"/>
            <w:tcBorders>
              <w:top w:val="single" w:sz="4" w:space="0" w:color="auto"/>
              <w:bottom w:val="single" w:sz="4" w:space="0" w:color="auto"/>
            </w:tcBorders>
            <w:vAlign w:val="bottom"/>
          </w:tcPr>
          <w:p w14:paraId="7397D995"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85.0</w:t>
            </w:r>
          </w:p>
        </w:tc>
        <w:tc>
          <w:tcPr>
            <w:tcW w:w="2268" w:type="dxa"/>
            <w:tcBorders>
              <w:top w:val="single" w:sz="4" w:space="0" w:color="auto"/>
              <w:bottom w:val="single" w:sz="4" w:space="0" w:color="auto"/>
            </w:tcBorders>
            <w:vAlign w:val="bottom"/>
          </w:tcPr>
          <w:p w14:paraId="238312D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31.0</w:t>
            </w:r>
          </w:p>
        </w:tc>
      </w:tr>
      <w:tr w:rsidR="0064507B" w:rsidRPr="00112DB6" w14:paraId="5539CC29" w14:textId="77777777" w:rsidTr="009E51EE">
        <w:tc>
          <w:tcPr>
            <w:tcW w:w="3544" w:type="dxa"/>
            <w:tcBorders>
              <w:top w:val="single" w:sz="4" w:space="0" w:color="auto"/>
              <w:bottom w:val="single" w:sz="4" w:space="0" w:color="auto"/>
            </w:tcBorders>
            <w:vAlign w:val="bottom"/>
          </w:tcPr>
          <w:p w14:paraId="523D8A48"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Limb</w:t>
            </w:r>
          </w:p>
        </w:tc>
        <w:tc>
          <w:tcPr>
            <w:tcW w:w="1559" w:type="dxa"/>
            <w:tcBorders>
              <w:top w:val="single" w:sz="4" w:space="0" w:color="auto"/>
              <w:bottom w:val="single" w:sz="4" w:space="0" w:color="auto"/>
            </w:tcBorders>
            <w:vAlign w:val="bottom"/>
          </w:tcPr>
          <w:p w14:paraId="1DEEDF79"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6FFFED56"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4840E7EA"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7D0DD698"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16EE7637"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3F875434" w14:textId="77777777" w:rsidTr="009E51EE">
        <w:tc>
          <w:tcPr>
            <w:tcW w:w="3544" w:type="dxa"/>
            <w:tcBorders>
              <w:top w:val="single" w:sz="4" w:space="0" w:color="auto"/>
              <w:bottom w:val="single" w:sz="4" w:space="0" w:color="auto"/>
            </w:tcBorders>
            <w:vAlign w:val="bottom"/>
          </w:tcPr>
          <w:p w14:paraId="255A12DE" w14:textId="77777777" w:rsidR="0064507B" w:rsidRPr="00112DB6" w:rsidRDefault="0064507B" w:rsidP="009E51EE">
            <w:pPr>
              <w:spacing w:before="0" w:after="0" w:line="360" w:lineRule="auto"/>
              <w:ind w:left="170"/>
              <w:rPr>
                <w:rFonts w:cs="Times New Roman"/>
                <w:sz w:val="20"/>
                <w:szCs w:val="20"/>
                <w:lang w:val="en-US"/>
              </w:rPr>
            </w:pPr>
            <w:r w:rsidRPr="00112DB6">
              <w:rPr>
                <w:rFonts w:cs="Times New Roman"/>
                <w:sz w:val="20"/>
                <w:szCs w:val="20"/>
                <w:lang w:val="en-US"/>
              </w:rPr>
              <w:t>Limb reduction defects</w:t>
            </w:r>
          </w:p>
        </w:tc>
        <w:tc>
          <w:tcPr>
            <w:tcW w:w="1559" w:type="dxa"/>
            <w:tcBorders>
              <w:top w:val="single" w:sz="4" w:space="0" w:color="auto"/>
              <w:bottom w:val="single" w:sz="4" w:space="0" w:color="auto"/>
            </w:tcBorders>
            <w:vAlign w:val="bottom"/>
          </w:tcPr>
          <w:p w14:paraId="0B929D8D"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1572</w:t>
            </w:r>
          </w:p>
        </w:tc>
        <w:tc>
          <w:tcPr>
            <w:tcW w:w="1276" w:type="dxa"/>
            <w:tcBorders>
              <w:top w:val="single" w:sz="4" w:space="0" w:color="auto"/>
              <w:bottom w:val="single" w:sz="4" w:space="0" w:color="auto"/>
            </w:tcBorders>
            <w:vAlign w:val="bottom"/>
          </w:tcPr>
          <w:p w14:paraId="12B2E7F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84</w:t>
            </w:r>
          </w:p>
        </w:tc>
        <w:tc>
          <w:tcPr>
            <w:tcW w:w="2693" w:type="dxa"/>
            <w:tcBorders>
              <w:top w:val="single" w:sz="4" w:space="0" w:color="auto"/>
              <w:bottom w:val="single" w:sz="4" w:space="0" w:color="auto"/>
            </w:tcBorders>
            <w:vAlign w:val="bottom"/>
          </w:tcPr>
          <w:p w14:paraId="7479BBF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96.0 (94.0-98.1)</w:t>
            </w:r>
          </w:p>
        </w:tc>
        <w:tc>
          <w:tcPr>
            <w:tcW w:w="2268" w:type="dxa"/>
            <w:tcBorders>
              <w:top w:val="single" w:sz="4" w:space="0" w:color="auto"/>
              <w:bottom w:val="single" w:sz="4" w:space="0" w:color="auto"/>
            </w:tcBorders>
            <w:vAlign w:val="bottom"/>
          </w:tcPr>
          <w:p w14:paraId="7D2D706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54.8</w:t>
            </w:r>
          </w:p>
        </w:tc>
        <w:tc>
          <w:tcPr>
            <w:tcW w:w="2268" w:type="dxa"/>
            <w:tcBorders>
              <w:top w:val="single" w:sz="4" w:space="0" w:color="auto"/>
              <w:bottom w:val="single" w:sz="4" w:space="0" w:color="auto"/>
            </w:tcBorders>
            <w:vAlign w:val="bottom"/>
          </w:tcPr>
          <w:p w14:paraId="533F540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13.1</w:t>
            </w:r>
          </w:p>
        </w:tc>
      </w:tr>
      <w:tr w:rsidR="0064507B" w:rsidRPr="00112DB6" w14:paraId="72C5F3F2" w14:textId="77777777" w:rsidTr="009E51EE">
        <w:tc>
          <w:tcPr>
            <w:tcW w:w="3544" w:type="dxa"/>
            <w:tcBorders>
              <w:top w:val="single" w:sz="4" w:space="0" w:color="auto"/>
              <w:bottom w:val="single" w:sz="4" w:space="0" w:color="auto"/>
            </w:tcBorders>
            <w:vAlign w:val="bottom"/>
          </w:tcPr>
          <w:p w14:paraId="45B6298E" w14:textId="77777777" w:rsidR="0064507B" w:rsidRPr="00112DB6" w:rsidRDefault="0064507B" w:rsidP="009E51EE">
            <w:pPr>
              <w:spacing w:before="0" w:after="0" w:line="360" w:lineRule="auto"/>
              <w:rPr>
                <w:rFonts w:cs="Times New Roman"/>
                <w:b/>
                <w:bCs/>
                <w:i/>
                <w:iCs/>
                <w:sz w:val="20"/>
                <w:szCs w:val="20"/>
                <w:lang w:val="en-US"/>
              </w:rPr>
            </w:pPr>
            <w:r w:rsidRPr="00112DB6">
              <w:rPr>
                <w:rFonts w:cs="Times New Roman"/>
                <w:b/>
                <w:bCs/>
                <w:i/>
                <w:iCs/>
                <w:sz w:val="20"/>
                <w:szCs w:val="20"/>
                <w:lang w:val="en-US"/>
              </w:rPr>
              <w:t>Musculoskeletal</w:t>
            </w:r>
          </w:p>
        </w:tc>
        <w:tc>
          <w:tcPr>
            <w:tcW w:w="1559" w:type="dxa"/>
            <w:tcBorders>
              <w:top w:val="single" w:sz="4" w:space="0" w:color="auto"/>
              <w:bottom w:val="single" w:sz="4" w:space="0" w:color="auto"/>
            </w:tcBorders>
            <w:vAlign w:val="bottom"/>
          </w:tcPr>
          <w:p w14:paraId="7864FE2E" w14:textId="77777777" w:rsidR="0064507B" w:rsidRPr="00112DB6" w:rsidRDefault="0064507B"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5578237F" w14:textId="77777777" w:rsidR="0064507B" w:rsidRPr="00112DB6" w:rsidRDefault="0064507B"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vAlign w:val="bottom"/>
          </w:tcPr>
          <w:p w14:paraId="7CF6917B"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vAlign w:val="bottom"/>
          </w:tcPr>
          <w:p w14:paraId="1A380D6D" w14:textId="77777777" w:rsidR="0064507B" w:rsidRPr="00112DB6" w:rsidRDefault="0064507B"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7367DE3E" w14:textId="77777777" w:rsidR="0064507B" w:rsidRPr="00112DB6" w:rsidRDefault="0064507B" w:rsidP="009E51EE">
            <w:pPr>
              <w:spacing w:before="0" w:after="0" w:line="360" w:lineRule="auto"/>
              <w:jc w:val="center"/>
              <w:rPr>
                <w:rFonts w:cs="Times New Roman"/>
                <w:sz w:val="20"/>
                <w:szCs w:val="20"/>
                <w:lang w:val="en-US"/>
              </w:rPr>
            </w:pPr>
          </w:p>
        </w:tc>
      </w:tr>
      <w:tr w:rsidR="0064507B" w:rsidRPr="00112DB6" w14:paraId="5AA82192" w14:textId="77777777" w:rsidTr="009E51EE">
        <w:tc>
          <w:tcPr>
            <w:tcW w:w="3544" w:type="dxa"/>
            <w:tcBorders>
              <w:top w:val="single" w:sz="4" w:space="0" w:color="auto"/>
              <w:bottom w:val="single" w:sz="4" w:space="0" w:color="auto"/>
            </w:tcBorders>
            <w:vAlign w:val="bottom"/>
          </w:tcPr>
          <w:p w14:paraId="2F2C7BD5" w14:textId="77777777" w:rsidR="0064507B" w:rsidRPr="00112DB6" w:rsidRDefault="0064507B" w:rsidP="009E51EE">
            <w:pPr>
              <w:spacing w:before="0" w:after="0" w:line="360" w:lineRule="auto"/>
              <w:ind w:left="170"/>
              <w:rPr>
                <w:rFonts w:cs="Times New Roman"/>
                <w:sz w:val="20"/>
                <w:szCs w:val="20"/>
                <w:lang w:val="en-US"/>
              </w:rPr>
            </w:pPr>
            <w:proofErr w:type="spellStart"/>
            <w:r w:rsidRPr="00112DB6">
              <w:rPr>
                <w:rFonts w:cs="Times New Roman"/>
                <w:sz w:val="20"/>
                <w:szCs w:val="20"/>
                <w:lang w:val="en-US"/>
              </w:rPr>
              <w:t>Craniosynostosis</w:t>
            </w:r>
            <w:proofErr w:type="spellEnd"/>
          </w:p>
        </w:tc>
        <w:tc>
          <w:tcPr>
            <w:tcW w:w="1559" w:type="dxa"/>
            <w:tcBorders>
              <w:top w:val="single" w:sz="4" w:space="0" w:color="auto"/>
              <w:bottom w:val="single" w:sz="4" w:space="0" w:color="auto"/>
            </w:tcBorders>
            <w:vAlign w:val="bottom"/>
          </w:tcPr>
          <w:p w14:paraId="58976A07"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1257</w:t>
            </w:r>
          </w:p>
        </w:tc>
        <w:tc>
          <w:tcPr>
            <w:tcW w:w="1276" w:type="dxa"/>
            <w:tcBorders>
              <w:top w:val="single" w:sz="4" w:space="0" w:color="auto"/>
              <w:bottom w:val="single" w:sz="4" w:space="0" w:color="auto"/>
            </w:tcBorders>
            <w:vAlign w:val="bottom"/>
          </w:tcPr>
          <w:p w14:paraId="43CB6B9B"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31</w:t>
            </w:r>
          </w:p>
        </w:tc>
        <w:tc>
          <w:tcPr>
            <w:tcW w:w="2693" w:type="dxa"/>
            <w:tcBorders>
              <w:top w:val="single" w:sz="4" w:space="0" w:color="auto"/>
              <w:bottom w:val="single" w:sz="4" w:space="0" w:color="auto"/>
            </w:tcBorders>
            <w:vAlign w:val="bottom"/>
          </w:tcPr>
          <w:p w14:paraId="6DEBE3B6"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97.9 (96.6-99.1)</w:t>
            </w:r>
          </w:p>
        </w:tc>
        <w:tc>
          <w:tcPr>
            <w:tcW w:w="2268" w:type="dxa"/>
            <w:tcBorders>
              <w:top w:val="single" w:sz="4" w:space="0" w:color="auto"/>
              <w:bottom w:val="single" w:sz="4" w:space="0" w:color="auto"/>
            </w:tcBorders>
            <w:vAlign w:val="bottom"/>
          </w:tcPr>
          <w:p w14:paraId="0D8BA51F"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72.3</w:t>
            </w:r>
          </w:p>
        </w:tc>
        <w:tc>
          <w:tcPr>
            <w:tcW w:w="2268" w:type="dxa"/>
            <w:tcBorders>
              <w:top w:val="single" w:sz="4" w:space="0" w:color="auto"/>
              <w:bottom w:val="single" w:sz="4" w:space="0" w:color="auto"/>
            </w:tcBorders>
            <w:vAlign w:val="bottom"/>
          </w:tcPr>
          <w:p w14:paraId="414A4E3C" w14:textId="77777777" w:rsidR="0064507B" w:rsidRPr="00112DB6" w:rsidRDefault="0064507B" w:rsidP="009E51EE">
            <w:pPr>
              <w:spacing w:before="0" w:after="0" w:line="360" w:lineRule="auto"/>
              <w:jc w:val="center"/>
              <w:rPr>
                <w:rFonts w:cs="Times New Roman"/>
                <w:sz w:val="20"/>
                <w:szCs w:val="20"/>
                <w:lang w:val="en-US"/>
              </w:rPr>
            </w:pPr>
            <w:r w:rsidRPr="00112DB6">
              <w:rPr>
                <w:rFonts w:cs="Times New Roman"/>
                <w:sz w:val="20"/>
                <w:szCs w:val="20"/>
                <w:lang w:val="en-US"/>
              </w:rPr>
              <w:t>19.4</w:t>
            </w:r>
          </w:p>
        </w:tc>
      </w:tr>
    </w:tbl>
    <w:p w14:paraId="7F1CCCB4" w14:textId="77777777" w:rsidR="0064507B" w:rsidRPr="00112DB6" w:rsidRDefault="0064507B" w:rsidP="009E51EE">
      <w:pPr>
        <w:spacing w:after="0" w:line="240" w:lineRule="auto"/>
        <w:rPr>
          <w:color w:val="201F1E"/>
          <w:lang w:val="en-US"/>
        </w:rPr>
      </w:pPr>
      <w:proofErr w:type="spellStart"/>
      <w:proofErr w:type="gramStart"/>
      <w:r w:rsidRPr="00112DB6">
        <w:rPr>
          <w:rFonts w:cs="Times New Roman"/>
          <w:szCs w:val="24"/>
          <w:vertAlign w:val="superscript"/>
          <w:lang w:val="en-US"/>
        </w:rPr>
        <w:t>a</w:t>
      </w:r>
      <w:proofErr w:type="spellEnd"/>
      <w:proofErr w:type="gramEnd"/>
      <w:r w:rsidRPr="00112DB6">
        <w:rPr>
          <w:rFonts w:cs="Times New Roman"/>
          <w:szCs w:val="24"/>
          <w:lang w:val="en-US"/>
        </w:rPr>
        <w:t xml:space="preserve"> </w:t>
      </w:r>
      <w:r w:rsidRPr="00112DB6">
        <w:rPr>
          <w:rFonts w:cs="Times New Roman"/>
          <w:color w:val="201F1E"/>
          <w:szCs w:val="24"/>
          <w:lang w:val="en-US"/>
        </w:rPr>
        <w:t>For each anomaly subgroup, all children with the specified anomalies were included and those with an isolated anomaly only were identified</w:t>
      </w:r>
      <w:r w:rsidRPr="00112DB6">
        <w:rPr>
          <w:color w:val="201F1E"/>
          <w:lang w:val="en-US"/>
        </w:rPr>
        <w:t xml:space="preserve">. </w:t>
      </w:r>
      <w:r w:rsidRPr="00112DB6">
        <w:rPr>
          <w:rFonts w:cs="Times New Roman"/>
          <w:szCs w:val="24"/>
          <w:lang w:val="en-US"/>
        </w:rPr>
        <w:t>An i</w:t>
      </w:r>
      <w:r w:rsidRPr="00112DB6">
        <w:rPr>
          <w:rFonts w:cs="Times New Roman"/>
          <w:lang w:val="en-US"/>
        </w:rPr>
        <w:t xml:space="preserve">solated congenital anomaly </w:t>
      </w:r>
      <w:proofErr w:type="gramStart"/>
      <w:r w:rsidRPr="00112DB6">
        <w:rPr>
          <w:rFonts w:cs="Times New Roman"/>
          <w:lang w:val="en-US"/>
        </w:rPr>
        <w:t>is defined</w:t>
      </w:r>
      <w:proofErr w:type="gramEnd"/>
      <w:r w:rsidRPr="00112DB6">
        <w:rPr>
          <w:rFonts w:cs="Times New Roman"/>
          <w:lang w:val="en-US"/>
        </w:rPr>
        <w:t xml:space="preserve"> as </w:t>
      </w:r>
      <w:r w:rsidRPr="00112DB6">
        <w:rPr>
          <w:rFonts w:cs="Times New Roman"/>
          <w:color w:val="231F20"/>
          <w:lang w:val="en-US"/>
        </w:rPr>
        <w:t xml:space="preserve">a structural congenital anomaly in one organ system only or </w:t>
      </w:r>
      <w:r w:rsidRPr="00112DB6">
        <w:rPr>
          <w:rFonts w:cs="Times New Roman"/>
          <w:color w:val="231F20"/>
          <w:szCs w:val="24"/>
          <w:lang w:val="en-US"/>
        </w:rPr>
        <w:t>if co-existing anomalies were a consequence of a single primary anomaly</w:t>
      </w:r>
      <w:r w:rsidRPr="00112DB6">
        <w:rPr>
          <w:rFonts w:cs="AdvP7C2E"/>
          <w:color w:val="231F20"/>
          <w:lang w:val="en-US"/>
        </w:rPr>
        <w:t>.</w:t>
      </w:r>
    </w:p>
    <w:p w14:paraId="0EE62076" w14:textId="77777777" w:rsidR="0064507B" w:rsidRPr="00112DB6" w:rsidRDefault="0064507B" w:rsidP="009E51EE">
      <w:pPr>
        <w:autoSpaceDE w:val="0"/>
        <w:autoSpaceDN w:val="0"/>
        <w:adjustRightInd w:val="0"/>
        <w:spacing w:before="0" w:after="0" w:line="240" w:lineRule="auto"/>
        <w:rPr>
          <w:szCs w:val="24"/>
          <w:lang w:val="en-US"/>
        </w:rPr>
      </w:pPr>
      <w:proofErr w:type="gramStart"/>
      <w:r w:rsidRPr="00112DB6">
        <w:rPr>
          <w:rFonts w:cs="Times New Roman"/>
          <w:szCs w:val="24"/>
          <w:vertAlign w:val="superscript"/>
          <w:lang w:val="en-US"/>
        </w:rPr>
        <w:t>b</w:t>
      </w:r>
      <w:proofErr w:type="gramEnd"/>
      <w:r w:rsidRPr="00112DB6">
        <w:rPr>
          <w:rFonts w:cs="Times New Roman"/>
          <w:szCs w:val="24"/>
          <w:vertAlign w:val="superscript"/>
          <w:lang w:val="en-US"/>
        </w:rPr>
        <w:t xml:space="preserve"> </w:t>
      </w:r>
      <w:r w:rsidRPr="00112DB6">
        <w:rPr>
          <w:rFonts w:cs="Times New Roman"/>
          <w:szCs w:val="24"/>
          <w:lang w:val="en-US"/>
        </w:rPr>
        <w:t xml:space="preserve">Reduction </w:t>
      </w:r>
      <w:r w:rsidRPr="00112DB6">
        <w:rPr>
          <w:szCs w:val="24"/>
          <w:lang w:val="en-US"/>
        </w:rPr>
        <w:t>in the size of the brain with a head circumference more than 3 standard deviations below the mean for sex, gestational age and ethnic origin (EUROCAT definition</w:t>
      </w:r>
      <w:r w:rsidRPr="00112DB6">
        <w:rPr>
          <w:szCs w:val="24"/>
          <w:vertAlign w:val="superscript"/>
          <w:lang w:val="en-US"/>
        </w:rPr>
        <w:t>41</w:t>
      </w:r>
      <w:r w:rsidRPr="00112DB6">
        <w:rPr>
          <w:szCs w:val="24"/>
          <w:lang w:val="en-US"/>
        </w:rPr>
        <w:t>).</w:t>
      </w:r>
    </w:p>
    <w:p w14:paraId="2D780724" w14:textId="77777777" w:rsidR="0064507B" w:rsidRPr="00112DB6" w:rsidRDefault="0064507B" w:rsidP="009E51EE">
      <w:pPr>
        <w:autoSpaceDE w:val="0"/>
        <w:autoSpaceDN w:val="0"/>
        <w:adjustRightInd w:val="0"/>
        <w:spacing w:before="0" w:after="0" w:line="240" w:lineRule="auto"/>
        <w:rPr>
          <w:rFonts w:cs="Times New Roman"/>
          <w:szCs w:val="24"/>
          <w:lang w:val="en-US"/>
        </w:rPr>
      </w:pPr>
      <w:r w:rsidRPr="00112DB6">
        <w:rPr>
          <w:rFonts w:cs="Times New Roman"/>
          <w:szCs w:val="24"/>
          <w:lang w:val="en-US"/>
        </w:rPr>
        <w:t>CHD, congenital heart defect.</w:t>
      </w:r>
    </w:p>
    <w:p w14:paraId="70B6B35C" w14:textId="77777777" w:rsidR="0064507B" w:rsidRPr="00112DB6" w:rsidRDefault="0064507B" w:rsidP="009E51EE">
      <w:pPr>
        <w:pStyle w:val="Default"/>
        <w:rPr>
          <w:rFonts w:ascii="Times New Roman" w:hAnsi="Times New Roman" w:cs="Times New Roman"/>
          <w:lang w:val="en-US"/>
        </w:rPr>
      </w:pPr>
      <w:proofErr w:type="gramStart"/>
      <w:r w:rsidRPr="00112DB6">
        <w:rPr>
          <w:rFonts w:cs="Times New Roman"/>
          <w:vertAlign w:val="superscript"/>
          <w:lang w:val="en-US"/>
        </w:rPr>
        <w:t>c</w:t>
      </w:r>
      <w:r w:rsidRPr="00112DB6">
        <w:rPr>
          <w:rFonts w:ascii="Times New Roman" w:hAnsi="Times New Roman" w:cs="Times New Roman"/>
          <w:lang w:val="en-US"/>
        </w:rPr>
        <w:t xml:space="preserve"> Severe CHD included the following CHD subgroups: common arterial truncus</w:t>
      </w:r>
      <w:r w:rsidRPr="00112DB6">
        <w:rPr>
          <w:rFonts w:ascii="Times New Roman" w:eastAsia="AdvP7C2E" w:hAnsi="Times New Roman" w:cs="Times New Roman"/>
          <w:color w:val="3A3535"/>
          <w:lang w:val="en-US"/>
        </w:rPr>
        <w:t xml:space="preserve">, </w:t>
      </w:r>
      <w:r w:rsidRPr="00112DB6">
        <w:rPr>
          <w:rFonts w:ascii="Times New Roman" w:hAnsi="Times New Roman" w:cs="Times New Roman"/>
          <w:lang w:val="en-US"/>
        </w:rPr>
        <w:t xml:space="preserve">double outlet right ventricle, transposition of great vessels, single ventricle, </w:t>
      </w:r>
      <w:r w:rsidRPr="00112DB6">
        <w:rPr>
          <w:rFonts w:ascii="Times New Roman" w:hAnsi="Times New Roman" w:cs="Times New Roman"/>
          <w:shd w:val="clear" w:color="auto" w:fill="FFFFFF"/>
          <w:lang w:val="en-US"/>
        </w:rPr>
        <w:t>atrioventricular septal defect</w:t>
      </w:r>
      <w:r w:rsidRPr="00112DB6">
        <w:rPr>
          <w:rFonts w:ascii="Times New Roman" w:hAnsi="Times New Roman" w:cs="Times New Roman"/>
          <w:lang w:val="en-US"/>
        </w:rPr>
        <w:t xml:space="preserve">, tetralogy of </w:t>
      </w:r>
      <w:proofErr w:type="spellStart"/>
      <w:r w:rsidRPr="00112DB6">
        <w:rPr>
          <w:rFonts w:ascii="Times New Roman" w:hAnsi="Times New Roman" w:cs="Times New Roman"/>
          <w:lang w:val="en-US"/>
        </w:rPr>
        <w:t>Fallot</w:t>
      </w:r>
      <w:proofErr w:type="spellEnd"/>
      <w:r w:rsidRPr="00112DB6">
        <w:rPr>
          <w:rFonts w:ascii="Times New Roman" w:hAnsi="Times New Roman" w:cs="Times New Roman"/>
          <w:lang w:val="en-US"/>
        </w:rPr>
        <w:t xml:space="preserve">, pulmonary valve atresia, </w:t>
      </w:r>
      <w:proofErr w:type="spellStart"/>
      <w:r w:rsidRPr="00112DB6">
        <w:rPr>
          <w:rFonts w:ascii="Times New Roman" w:hAnsi="Times New Roman" w:cs="Times New Roman"/>
          <w:lang w:val="en-US"/>
        </w:rPr>
        <w:t>triscuspid</w:t>
      </w:r>
      <w:proofErr w:type="spellEnd"/>
      <w:r w:rsidRPr="00112DB6">
        <w:rPr>
          <w:rFonts w:ascii="Times New Roman" w:hAnsi="Times New Roman" w:cs="Times New Roman"/>
          <w:lang w:val="en-US"/>
        </w:rPr>
        <w:t xml:space="preserve"> atresia and stenosis, </w:t>
      </w:r>
      <w:proofErr w:type="spellStart"/>
      <w:r w:rsidRPr="00112DB6">
        <w:rPr>
          <w:rFonts w:ascii="Times New Roman" w:hAnsi="Times New Roman" w:cs="Times New Roman"/>
          <w:lang w:val="en-US"/>
        </w:rPr>
        <w:t>Ebstein</w:t>
      </w:r>
      <w:proofErr w:type="spellEnd"/>
      <w:r w:rsidRPr="00112DB6">
        <w:rPr>
          <w:rFonts w:ascii="Times New Roman" w:hAnsi="Times New Roman" w:cs="Times New Roman"/>
          <w:lang w:val="en-US"/>
        </w:rPr>
        <w:t xml:space="preserve"> anomaly, </w:t>
      </w:r>
      <w:proofErr w:type="spellStart"/>
      <w:r w:rsidRPr="00112DB6">
        <w:rPr>
          <w:rFonts w:ascii="Times New Roman" w:hAnsi="Times New Roman" w:cs="Times New Roman"/>
          <w:lang w:val="en-US"/>
        </w:rPr>
        <w:t>hypoplastic</w:t>
      </w:r>
      <w:proofErr w:type="spellEnd"/>
      <w:r w:rsidRPr="00112DB6">
        <w:rPr>
          <w:rFonts w:ascii="Times New Roman" w:hAnsi="Times New Roman" w:cs="Times New Roman"/>
          <w:lang w:val="en-US"/>
        </w:rPr>
        <w:t xml:space="preserve"> right heart, aortic valve atresia/stenosis, mitral valve anomalies, </w:t>
      </w:r>
      <w:proofErr w:type="spellStart"/>
      <w:r w:rsidRPr="00112DB6">
        <w:rPr>
          <w:rFonts w:ascii="Times New Roman" w:hAnsi="Times New Roman" w:cs="Times New Roman"/>
          <w:lang w:val="en-US"/>
        </w:rPr>
        <w:t>hypoplastic</w:t>
      </w:r>
      <w:proofErr w:type="spellEnd"/>
      <w:r w:rsidRPr="00112DB6">
        <w:rPr>
          <w:rFonts w:ascii="Times New Roman" w:hAnsi="Times New Roman" w:cs="Times New Roman"/>
          <w:lang w:val="en-US"/>
        </w:rPr>
        <w:t xml:space="preserve"> left heart, </w:t>
      </w:r>
      <w:proofErr w:type="spellStart"/>
      <w:r w:rsidRPr="00112DB6">
        <w:rPr>
          <w:rFonts w:ascii="Times New Roman" w:hAnsi="Times New Roman" w:cs="Times New Roman"/>
          <w:lang w:val="en-US"/>
        </w:rPr>
        <w:t>coarctation</w:t>
      </w:r>
      <w:proofErr w:type="spellEnd"/>
      <w:r w:rsidRPr="00112DB6">
        <w:rPr>
          <w:rFonts w:ascii="Times New Roman" w:hAnsi="Times New Roman" w:cs="Times New Roman"/>
          <w:lang w:val="en-US"/>
        </w:rPr>
        <w:t xml:space="preserve"> of aorta, aortic atresia/interrupted aortic arch, total anomalous pulmonary venous return (see the corresponding ICD codes in Supplemental Table 1 and Morris et al</w:t>
      </w:r>
      <w:r w:rsidRPr="00112DB6">
        <w:rPr>
          <w:rFonts w:ascii="Times New Roman" w:hAnsi="Times New Roman" w:cs="Times New Roman"/>
          <w:vertAlign w:val="superscript"/>
          <w:lang w:val="en-US"/>
        </w:rPr>
        <w:t>17</w:t>
      </w:r>
      <w:r w:rsidRPr="00112DB6">
        <w:rPr>
          <w:rFonts w:ascii="Times New Roman" w:hAnsi="Times New Roman" w:cs="Times New Roman"/>
          <w:lang w:val="en-US"/>
        </w:rPr>
        <w:t xml:space="preserve"> for more rare CHD).</w:t>
      </w:r>
      <w:proofErr w:type="gramEnd"/>
    </w:p>
    <w:p w14:paraId="2C0BD4F9" w14:textId="77777777" w:rsidR="0064507B" w:rsidRPr="00112DB6" w:rsidRDefault="0064507B" w:rsidP="009E51EE">
      <w:pPr>
        <w:autoSpaceDE w:val="0"/>
        <w:autoSpaceDN w:val="0"/>
        <w:adjustRightInd w:val="0"/>
        <w:spacing w:before="0" w:after="0" w:line="240" w:lineRule="auto"/>
        <w:rPr>
          <w:rFonts w:eastAsia="AdvP7C2E" w:cs="Times New Roman"/>
          <w:color w:val="3A3535"/>
          <w:szCs w:val="24"/>
          <w:lang w:val="en-US"/>
        </w:rPr>
      </w:pPr>
      <w:r w:rsidRPr="00112DB6">
        <w:rPr>
          <w:rFonts w:eastAsia="AdvP7C2E" w:cs="Times New Roman"/>
          <w:color w:val="3A3535"/>
          <w:szCs w:val="24"/>
          <w:lang w:val="en-US"/>
        </w:rPr>
        <w:t xml:space="preserve">The number of live births or deaths for ‘any anomaly’ is not equal to the sum of those for each congenital anomaly subgroup as some congenital anomalies may belong to more than one congenital anomaly subgroup, </w:t>
      </w:r>
      <w:proofErr w:type="spellStart"/>
      <w:r w:rsidRPr="00112DB6">
        <w:rPr>
          <w:rFonts w:eastAsia="AdvP7C2E" w:cs="Times New Roman"/>
          <w:color w:val="3A3535"/>
          <w:szCs w:val="24"/>
          <w:lang w:val="en-US"/>
        </w:rPr>
        <w:t>eg</w:t>
      </w:r>
      <w:proofErr w:type="spellEnd"/>
      <w:r w:rsidRPr="00112DB6">
        <w:rPr>
          <w:rFonts w:eastAsia="AdvP7C2E" w:cs="Times New Roman"/>
          <w:color w:val="3A3535"/>
          <w:szCs w:val="24"/>
          <w:lang w:val="en-US"/>
        </w:rPr>
        <w:t xml:space="preserve">, an individual CHD may also be associated with severe CHD, and ‘any anomaly’ may include other subgroups not listed in this table. </w:t>
      </w:r>
    </w:p>
    <w:p w14:paraId="5CF6145F" w14:textId="77777777" w:rsidR="0064507B" w:rsidRPr="00112DB6" w:rsidRDefault="0064507B" w:rsidP="009E51EE">
      <w:pPr>
        <w:autoSpaceDE w:val="0"/>
        <w:autoSpaceDN w:val="0"/>
        <w:adjustRightInd w:val="0"/>
        <w:spacing w:before="0" w:after="0" w:line="240" w:lineRule="auto"/>
        <w:rPr>
          <w:rFonts w:cstheme="minorHAnsi"/>
          <w:lang w:val="en-US"/>
        </w:rPr>
      </w:pPr>
      <w:r w:rsidRPr="00112DB6">
        <w:rPr>
          <w:rFonts w:eastAsia="AdvP7C2E" w:cs="Times New Roman"/>
          <w:color w:val="3A3535"/>
          <w:szCs w:val="24"/>
          <w:lang w:val="en-US"/>
        </w:rPr>
        <w:t xml:space="preserve">Deaths from the </w:t>
      </w:r>
      <w:r w:rsidRPr="00112DB6">
        <w:rPr>
          <w:rFonts w:cs="Times New Roman"/>
          <w:szCs w:val="24"/>
          <w:lang w:val="en-US"/>
        </w:rPr>
        <w:t>Netherlands: Northern registry were rounded to 0 or 5 due to small number restrictions and therefore were not included in the numbers of live births and deaths but were included in the survival estimates.</w:t>
      </w:r>
      <w:bookmarkEnd w:id="23"/>
    </w:p>
    <w:p w14:paraId="67785807" w14:textId="77777777" w:rsidR="0064507B" w:rsidRPr="00112DB6" w:rsidRDefault="0064507B">
      <w:pPr>
        <w:rPr>
          <w:lang w:val="en-US"/>
        </w:rPr>
      </w:pPr>
    </w:p>
    <w:p w14:paraId="0ED5E461" w14:textId="77777777" w:rsidR="0064507B" w:rsidRPr="00112DB6" w:rsidRDefault="0064507B" w:rsidP="000B660B">
      <w:pPr>
        <w:pStyle w:val="Heading1"/>
        <w:rPr>
          <w:rFonts w:cs="Times New Roman"/>
          <w:bCs/>
          <w:caps/>
          <w:sz w:val="28"/>
          <w:szCs w:val="28"/>
          <w:lang w:val="en-US"/>
        </w:rPr>
        <w:sectPr w:rsidR="0064507B" w:rsidRPr="00112DB6" w:rsidSect="009E51EE">
          <w:pgSz w:w="16838" w:h="11906" w:orient="landscape"/>
          <w:pgMar w:top="1440" w:right="1440" w:bottom="1440" w:left="1440" w:header="709" w:footer="709" w:gutter="0"/>
          <w:cols w:space="708"/>
          <w:docGrid w:linePitch="360"/>
        </w:sectPr>
      </w:pPr>
    </w:p>
    <w:p w14:paraId="3EA71CEE" w14:textId="77777777" w:rsidR="0064507B" w:rsidRPr="00112DB6" w:rsidRDefault="0064507B" w:rsidP="000B660B">
      <w:pPr>
        <w:pStyle w:val="Heading1"/>
        <w:rPr>
          <w:rFonts w:cs="Times New Roman"/>
          <w:caps/>
          <w:sz w:val="28"/>
          <w:szCs w:val="28"/>
          <w:lang w:val="en-US"/>
        </w:rPr>
      </w:pPr>
      <w:r w:rsidRPr="00112DB6">
        <w:rPr>
          <w:rFonts w:cs="Times New Roman"/>
          <w:bCs/>
          <w:caps/>
          <w:sz w:val="28"/>
          <w:szCs w:val="28"/>
          <w:lang w:val="en-US"/>
        </w:rPr>
        <w:lastRenderedPageBreak/>
        <w:t>Figure legends</w:t>
      </w:r>
    </w:p>
    <w:p w14:paraId="2C0D9913" w14:textId="77777777" w:rsidR="0064507B" w:rsidRPr="00112DB6" w:rsidRDefault="0064507B" w:rsidP="000B660B">
      <w:pPr>
        <w:spacing w:before="0" w:after="0"/>
        <w:rPr>
          <w:b/>
          <w:bCs/>
          <w:lang w:val="en-US"/>
        </w:rPr>
      </w:pPr>
      <w:r w:rsidRPr="00112DB6">
        <w:rPr>
          <w:b/>
          <w:bCs/>
          <w:lang w:val="en-US"/>
        </w:rPr>
        <w:t xml:space="preserve">FIGURE </w:t>
      </w:r>
      <w:proofErr w:type="gramStart"/>
      <w:r w:rsidRPr="00112DB6">
        <w:rPr>
          <w:b/>
          <w:bCs/>
          <w:lang w:val="en-US"/>
        </w:rPr>
        <w:t>1</w:t>
      </w:r>
      <w:proofErr w:type="gramEnd"/>
      <w:r w:rsidRPr="00112DB6">
        <w:rPr>
          <w:lang w:val="en-US"/>
        </w:rPr>
        <w:t xml:space="preserve"> Survival estimates (with 95% CI) of children with selected subgroups of congenital anomalies for ‘Isolated’ and ‘All’ groups </w:t>
      </w:r>
      <w:r w:rsidRPr="00112DB6">
        <w:rPr>
          <w:rFonts w:cs="Times New Roman"/>
          <w:szCs w:val="32"/>
          <w:lang w:val="en-US"/>
        </w:rPr>
        <w:t>in 13 EUROCAT registries</w:t>
      </w:r>
      <w:r w:rsidRPr="00112DB6">
        <w:rPr>
          <w:rFonts w:cs="Times New Roman"/>
          <w:szCs w:val="24"/>
          <w:lang w:val="en-US"/>
        </w:rPr>
        <w:t xml:space="preserve"> in nine Western European countries, </w:t>
      </w:r>
      <w:r w:rsidRPr="00112DB6">
        <w:rPr>
          <w:rFonts w:cs="Times New Roman"/>
          <w:szCs w:val="32"/>
          <w:lang w:val="en-US"/>
        </w:rPr>
        <w:t>2005-2014</w:t>
      </w:r>
    </w:p>
    <w:p w14:paraId="20B633BD" w14:textId="77777777" w:rsidR="0064507B" w:rsidRPr="00112DB6" w:rsidRDefault="0064507B" w:rsidP="000B660B">
      <w:pPr>
        <w:spacing w:before="0" w:after="0" w:line="240" w:lineRule="auto"/>
        <w:rPr>
          <w:rFonts w:cs="AdvP7C2E"/>
          <w:color w:val="231F20"/>
          <w:lang w:val="en-US"/>
        </w:rPr>
      </w:pPr>
      <w:r w:rsidRPr="00112DB6">
        <w:rPr>
          <w:rFonts w:cs="Times New Roman"/>
          <w:b/>
          <w:bCs/>
          <w:szCs w:val="24"/>
          <w:lang w:val="en-US"/>
        </w:rPr>
        <w:t xml:space="preserve">Note: </w:t>
      </w:r>
      <w:r w:rsidRPr="00112DB6">
        <w:rPr>
          <w:rFonts w:cs="Times New Roman"/>
          <w:color w:val="201F1E"/>
          <w:szCs w:val="24"/>
          <w:lang w:val="en-US"/>
        </w:rPr>
        <w:t>For each anomaly subgroup, all children with the specified anomalies were included and those with an isolated anomaly only were identified</w:t>
      </w:r>
      <w:r w:rsidRPr="00112DB6">
        <w:rPr>
          <w:color w:val="201F1E"/>
          <w:lang w:val="en-US"/>
        </w:rPr>
        <w:t xml:space="preserve"> resulting in two groups for analysis: ‘All’ and ‘Isolated’ with a specified CA. </w:t>
      </w:r>
      <w:r w:rsidRPr="00112DB6">
        <w:rPr>
          <w:rFonts w:cs="Times New Roman"/>
          <w:szCs w:val="24"/>
          <w:lang w:val="en-US"/>
        </w:rPr>
        <w:t>An i</w:t>
      </w:r>
      <w:r w:rsidRPr="00112DB6">
        <w:rPr>
          <w:rFonts w:cs="Times New Roman"/>
          <w:lang w:val="en-US"/>
        </w:rPr>
        <w:t xml:space="preserve">solated congenital anomaly </w:t>
      </w:r>
      <w:proofErr w:type="gramStart"/>
      <w:r w:rsidRPr="00112DB6">
        <w:rPr>
          <w:rFonts w:cs="Times New Roman"/>
          <w:lang w:val="en-US"/>
        </w:rPr>
        <w:t>is defined</w:t>
      </w:r>
      <w:proofErr w:type="gramEnd"/>
      <w:r w:rsidRPr="00112DB6">
        <w:rPr>
          <w:rFonts w:cs="Times New Roman"/>
          <w:lang w:val="en-US"/>
        </w:rPr>
        <w:t xml:space="preserve"> as </w:t>
      </w:r>
      <w:r w:rsidRPr="00112DB6">
        <w:rPr>
          <w:rFonts w:cs="Times New Roman"/>
          <w:color w:val="231F20"/>
          <w:lang w:val="en-US"/>
        </w:rPr>
        <w:t xml:space="preserve">a structural congenital anomaly in one organ system only or </w:t>
      </w:r>
      <w:r w:rsidRPr="00112DB6">
        <w:rPr>
          <w:rFonts w:cs="Times New Roman"/>
          <w:color w:val="231F20"/>
          <w:szCs w:val="24"/>
          <w:lang w:val="en-US"/>
        </w:rPr>
        <w:t>if co-existing anomalies were a consequence of a single primary anomaly</w:t>
      </w:r>
      <w:r w:rsidRPr="00112DB6">
        <w:rPr>
          <w:rFonts w:cs="AdvP7C2E"/>
          <w:color w:val="231F20"/>
          <w:lang w:val="en-US"/>
        </w:rPr>
        <w:t>.</w:t>
      </w:r>
    </w:p>
    <w:p w14:paraId="08EB983B" w14:textId="77777777" w:rsidR="0064507B" w:rsidRPr="00112DB6" w:rsidRDefault="0064507B">
      <w:pPr>
        <w:rPr>
          <w:lang w:val="en-US"/>
        </w:rPr>
      </w:pPr>
    </w:p>
    <w:p w14:paraId="513BB63F" w14:textId="77777777" w:rsidR="0064507B" w:rsidRPr="00112DB6" w:rsidRDefault="0064507B" w:rsidP="000B660B">
      <w:pPr>
        <w:pStyle w:val="Heading1"/>
        <w:rPr>
          <w:b w:val="0"/>
          <w:bCs/>
          <w:sz w:val="28"/>
          <w:szCs w:val="24"/>
          <w:lang w:val="en-US"/>
        </w:rPr>
      </w:pPr>
      <w:r w:rsidRPr="00112DB6">
        <w:rPr>
          <w:bCs/>
          <w:caps/>
          <w:lang w:val="en-US"/>
        </w:rPr>
        <w:lastRenderedPageBreak/>
        <w:t>Supplemental information</w:t>
      </w:r>
    </w:p>
    <w:p w14:paraId="7ACB6C2B" w14:textId="77777777" w:rsidR="0064507B" w:rsidRPr="00112DB6" w:rsidRDefault="0064507B" w:rsidP="000B660B">
      <w:pPr>
        <w:spacing w:line="240" w:lineRule="auto"/>
        <w:rPr>
          <w:rFonts w:cstheme="minorHAnsi"/>
          <w:szCs w:val="24"/>
          <w:lang w:val="en-US"/>
        </w:rPr>
      </w:pPr>
      <w:r w:rsidRPr="00112DB6">
        <w:rPr>
          <w:rFonts w:cs="Times New Roman"/>
          <w:b/>
          <w:bCs/>
          <w:szCs w:val="24"/>
          <w:lang w:val="en-US"/>
        </w:rPr>
        <w:t xml:space="preserve">Supplemental Table 1. </w:t>
      </w:r>
      <w:r w:rsidRPr="00112DB6">
        <w:rPr>
          <w:rFonts w:cstheme="minorHAnsi"/>
          <w:szCs w:val="24"/>
          <w:lang w:val="en-US"/>
        </w:rPr>
        <w:t xml:space="preserve">EUROCAT congenital anomaly subgroups in </w:t>
      </w:r>
      <w:proofErr w:type="spellStart"/>
      <w:r w:rsidRPr="00112DB6">
        <w:rPr>
          <w:rFonts w:cstheme="minorHAnsi"/>
          <w:szCs w:val="24"/>
          <w:lang w:val="en-US"/>
        </w:rPr>
        <w:t>EUROlinkCAT</w:t>
      </w:r>
      <w:proofErr w:type="spellEnd"/>
      <w:r w:rsidRPr="00112DB6">
        <w:rPr>
          <w:rFonts w:cstheme="minorHAnsi"/>
          <w:szCs w:val="24"/>
          <w:lang w:val="en-US"/>
        </w:rPr>
        <w:t>.</w:t>
      </w:r>
    </w:p>
    <w:p w14:paraId="6901B34A" w14:textId="77777777" w:rsidR="0064507B" w:rsidRPr="000B17B3" w:rsidRDefault="0064507B" w:rsidP="000B660B">
      <w:pPr>
        <w:spacing w:before="0" w:after="0"/>
        <w:rPr>
          <w:rFonts w:cs="Times New Roman"/>
          <w:b/>
          <w:bCs/>
          <w:szCs w:val="24"/>
          <w:lang w:val="en-US"/>
        </w:rPr>
      </w:pPr>
      <w:r w:rsidRPr="00112DB6">
        <w:rPr>
          <w:rFonts w:cs="Times New Roman"/>
          <w:b/>
          <w:bCs/>
          <w:szCs w:val="24"/>
          <w:lang w:val="en-US"/>
        </w:rPr>
        <w:t xml:space="preserve">Supplemental Table 2. </w:t>
      </w:r>
      <w:r w:rsidRPr="00112DB6">
        <w:rPr>
          <w:rFonts w:cstheme="minorHAnsi"/>
          <w:szCs w:val="24"/>
          <w:lang w:val="en-US"/>
        </w:rPr>
        <w:t xml:space="preserve">Results of the sensitivity analysis: survival estimates and the difference in survival compared to the survival for all registries after the exclusion of each registry in turn, </w:t>
      </w:r>
      <w:r w:rsidRPr="00112DB6">
        <w:rPr>
          <w:rFonts w:cs="Times New Roman"/>
          <w:szCs w:val="24"/>
          <w:lang w:val="en-US"/>
        </w:rPr>
        <w:t>13 EUROCAT registries in nine European countries, 2005-2014.</w:t>
      </w:r>
    </w:p>
    <w:p w14:paraId="01481FE3" w14:textId="77777777" w:rsidR="0064507B" w:rsidRPr="000B17B3" w:rsidRDefault="0064507B">
      <w:pPr>
        <w:rPr>
          <w:lang w:val="en-US"/>
        </w:rPr>
      </w:pPr>
    </w:p>
    <w:p w14:paraId="46FC008F" w14:textId="77777777" w:rsidR="0064507B" w:rsidRPr="000B17B3" w:rsidRDefault="0064507B">
      <w:pPr>
        <w:rPr>
          <w:lang w:val="en-US"/>
        </w:rPr>
      </w:pPr>
    </w:p>
    <w:p w14:paraId="4CAE5786" w14:textId="77777777" w:rsidR="00005C1A" w:rsidRPr="0064507B" w:rsidRDefault="00005C1A">
      <w:pPr>
        <w:rPr>
          <w:lang w:val="en-US"/>
        </w:rPr>
      </w:pPr>
    </w:p>
    <w:sectPr w:rsidR="00005C1A" w:rsidRPr="0064507B" w:rsidSect="000B66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2625" w14:textId="77777777" w:rsidR="000611EA" w:rsidRDefault="000611EA">
      <w:pPr>
        <w:spacing w:before="0" w:after="0" w:line="240" w:lineRule="auto"/>
      </w:pPr>
      <w:r>
        <w:separator/>
      </w:r>
    </w:p>
  </w:endnote>
  <w:endnote w:type="continuationSeparator" w:id="0">
    <w:p w14:paraId="10BC5BD9" w14:textId="77777777" w:rsidR="000611EA" w:rsidRDefault="00061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alaLancetPro">
    <w:altName w:val="Yu Gothic UI"/>
    <w:panose1 w:val="00000000000000000000"/>
    <w:charset w:val="80"/>
    <w:family w:val="auto"/>
    <w:notTrueType/>
    <w:pitch w:val="default"/>
    <w:sig w:usb0="00000001" w:usb1="08070000" w:usb2="00000010" w:usb3="00000000" w:csb0="00020000" w:csb1="00000000"/>
  </w:font>
  <w:font w:name="AdvMINION-R">
    <w:panose1 w:val="00000000000000000000"/>
    <w:charset w:val="00"/>
    <w:family w:val="roman"/>
    <w:notTrueType/>
    <w:pitch w:val="default"/>
    <w:sig w:usb0="00000003" w:usb1="00000000" w:usb2="00000000" w:usb3="00000000" w:csb0="00000001" w:csb1="00000000"/>
  </w:font>
  <w:font w:name="AdvP7C2E">
    <w:altName w:val="Yu Gothic UI"/>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5B38" w14:textId="77777777" w:rsidR="000611EA" w:rsidRDefault="000611EA">
      <w:pPr>
        <w:spacing w:before="0" w:after="0" w:line="240" w:lineRule="auto"/>
      </w:pPr>
      <w:r>
        <w:separator/>
      </w:r>
    </w:p>
  </w:footnote>
  <w:footnote w:type="continuationSeparator" w:id="0">
    <w:p w14:paraId="55908B24" w14:textId="77777777" w:rsidR="000611EA" w:rsidRDefault="000611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6852"/>
      <w:docPartObj>
        <w:docPartGallery w:val="Page Numbers (Top of Page)"/>
        <w:docPartUnique/>
      </w:docPartObj>
    </w:sdtPr>
    <w:sdtEndPr>
      <w:rPr>
        <w:noProof/>
      </w:rPr>
    </w:sdtEndPr>
    <w:sdtContent>
      <w:p w14:paraId="28DF7005" w14:textId="0E1D5949" w:rsidR="007A47C3" w:rsidRDefault="0064507B">
        <w:pPr>
          <w:pStyle w:val="Header"/>
          <w:jc w:val="right"/>
        </w:pPr>
        <w:r>
          <w:fldChar w:fldCharType="begin"/>
        </w:r>
        <w:r>
          <w:instrText xml:space="preserve"> PAGE   \* MERGEFORMAT </w:instrText>
        </w:r>
        <w:r>
          <w:fldChar w:fldCharType="separate"/>
        </w:r>
        <w:r w:rsidR="0046454C">
          <w:rPr>
            <w:noProof/>
          </w:rPr>
          <w:t>7</w:t>
        </w:r>
        <w:r>
          <w:rPr>
            <w:noProof/>
          </w:rPr>
          <w:fldChar w:fldCharType="end"/>
        </w:r>
      </w:p>
    </w:sdtContent>
  </w:sdt>
  <w:p w14:paraId="1ED925FE" w14:textId="77777777" w:rsidR="007A47C3" w:rsidRDefault="0006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1873"/>
    <w:multiLevelType w:val="multilevel"/>
    <w:tmpl w:val="737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56681B"/>
    <w:multiLevelType w:val="hybridMultilevel"/>
    <w:tmpl w:val="1B364272"/>
    <w:lvl w:ilvl="0" w:tplc="493CFEB6">
      <w:start w:val="9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507B"/>
    <w:rsid w:val="00005C1A"/>
    <w:rsid w:val="000611EA"/>
    <w:rsid w:val="000C5B96"/>
    <w:rsid w:val="00112DB6"/>
    <w:rsid w:val="00187E7B"/>
    <w:rsid w:val="001B3D75"/>
    <w:rsid w:val="002A670F"/>
    <w:rsid w:val="0046454C"/>
    <w:rsid w:val="00593F7F"/>
    <w:rsid w:val="0064507B"/>
    <w:rsid w:val="007A0AF0"/>
    <w:rsid w:val="00802DF3"/>
    <w:rsid w:val="008624FF"/>
    <w:rsid w:val="00865087"/>
    <w:rsid w:val="00A97C06"/>
    <w:rsid w:val="00AB136A"/>
    <w:rsid w:val="00AF208D"/>
    <w:rsid w:val="00DC220B"/>
    <w:rsid w:val="00E2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8F50"/>
  <w15:chartTrackingRefBased/>
  <w15:docId w15:val="{2ECF331A-AD4C-4DB3-9937-1CA7A42D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7B"/>
    <w:pPr>
      <w:spacing w:before="120" w:after="280" w:line="480" w:lineRule="auto"/>
    </w:pPr>
    <w:rPr>
      <w:rFonts w:ascii="Times New Roman" w:eastAsiaTheme="minorEastAsia" w:hAnsi="Times New Roman"/>
      <w:sz w:val="24"/>
    </w:rPr>
  </w:style>
  <w:style w:type="paragraph" w:styleId="Heading1">
    <w:name w:val="heading 1"/>
    <w:basedOn w:val="Normal"/>
    <w:next w:val="Normal"/>
    <w:link w:val="Heading1Char"/>
    <w:uiPriority w:val="9"/>
    <w:rsid w:val="0064507B"/>
    <w:pPr>
      <w:keepNext/>
      <w:keepLines/>
      <w:pageBreakBefore/>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507B"/>
    <w:pPr>
      <w:keepNext/>
      <w:keepLines/>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64507B"/>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07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4507B"/>
    <w:rPr>
      <w:rFonts w:ascii="Times New Roman" w:eastAsiaTheme="majorEastAsia" w:hAnsi="Times New Roman" w:cstheme="majorBidi"/>
      <w:b/>
      <w:color w:val="2F5496" w:themeColor="accent1" w:themeShade="BF"/>
      <w:sz w:val="24"/>
      <w:szCs w:val="26"/>
    </w:rPr>
  </w:style>
  <w:style w:type="character" w:customStyle="1" w:styleId="Heading3Char">
    <w:name w:val="Heading 3 Char"/>
    <w:basedOn w:val="DefaultParagraphFont"/>
    <w:link w:val="Heading3"/>
    <w:uiPriority w:val="9"/>
    <w:rsid w:val="0064507B"/>
    <w:rPr>
      <w:rFonts w:asciiTheme="majorHAnsi" w:eastAsiaTheme="majorEastAsia" w:hAnsiTheme="majorHAnsi" w:cstheme="majorBidi"/>
      <w:i/>
      <w:sz w:val="24"/>
      <w:szCs w:val="24"/>
    </w:rPr>
  </w:style>
  <w:style w:type="paragraph" w:styleId="Title">
    <w:name w:val="Title"/>
    <w:basedOn w:val="Normal"/>
    <w:next w:val="Normal"/>
    <w:link w:val="TitleChar"/>
    <w:uiPriority w:val="10"/>
    <w:qFormat/>
    <w:rsid w:val="0064507B"/>
    <w:pPr>
      <w:spacing w:after="0" w:line="240" w:lineRule="auto"/>
      <w:contextualSpacing/>
      <w:jc w:val="center"/>
    </w:pPr>
    <w:rPr>
      <w:rFonts w:eastAsiaTheme="majorEastAsia" w:cstheme="majorBidi"/>
      <w:b/>
      <w:bCs/>
      <w:spacing w:val="-7"/>
      <w:sz w:val="32"/>
      <w:szCs w:val="48"/>
    </w:rPr>
  </w:style>
  <w:style w:type="character" w:customStyle="1" w:styleId="TitleChar">
    <w:name w:val="Title Char"/>
    <w:basedOn w:val="DefaultParagraphFont"/>
    <w:link w:val="Title"/>
    <w:uiPriority w:val="10"/>
    <w:rsid w:val="0064507B"/>
    <w:rPr>
      <w:rFonts w:ascii="Times New Roman" w:eastAsiaTheme="majorEastAsia" w:hAnsi="Times New Roman" w:cstheme="majorBidi"/>
      <w:b/>
      <w:bCs/>
      <w:spacing w:val="-7"/>
      <w:sz w:val="32"/>
      <w:szCs w:val="48"/>
    </w:rPr>
  </w:style>
  <w:style w:type="paragraph" w:styleId="NoSpacing">
    <w:name w:val="No Spacing"/>
    <w:link w:val="NoSpacingChar"/>
    <w:uiPriority w:val="1"/>
    <w:qFormat/>
    <w:rsid w:val="0064507B"/>
    <w:pPr>
      <w:spacing w:before="240" w:after="240" w:line="36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64507B"/>
    <w:rPr>
      <w:rFonts w:ascii="Times New Roman" w:eastAsiaTheme="minorEastAsia" w:hAnsi="Times New Roman"/>
    </w:rPr>
  </w:style>
  <w:style w:type="character" w:styleId="Hyperlink">
    <w:name w:val="Hyperlink"/>
    <w:basedOn w:val="DefaultParagraphFont"/>
    <w:uiPriority w:val="99"/>
    <w:unhideWhenUsed/>
    <w:rsid w:val="0064507B"/>
    <w:rPr>
      <w:color w:val="0563C1" w:themeColor="hyperlink"/>
      <w:u w:val="single"/>
    </w:rPr>
  </w:style>
  <w:style w:type="character" w:styleId="CommentReference">
    <w:name w:val="annotation reference"/>
    <w:basedOn w:val="DefaultParagraphFont"/>
    <w:uiPriority w:val="99"/>
    <w:semiHidden/>
    <w:unhideWhenUsed/>
    <w:rsid w:val="0064507B"/>
    <w:rPr>
      <w:sz w:val="16"/>
      <w:szCs w:val="16"/>
    </w:rPr>
  </w:style>
  <w:style w:type="paragraph" w:styleId="CommentText">
    <w:name w:val="annotation text"/>
    <w:basedOn w:val="Normal"/>
    <w:link w:val="CommentTextChar"/>
    <w:uiPriority w:val="99"/>
    <w:unhideWhenUsed/>
    <w:rsid w:val="0064507B"/>
    <w:pPr>
      <w:spacing w:line="240" w:lineRule="auto"/>
    </w:pPr>
    <w:rPr>
      <w:sz w:val="20"/>
      <w:szCs w:val="20"/>
    </w:rPr>
  </w:style>
  <w:style w:type="character" w:customStyle="1" w:styleId="CommentTextChar">
    <w:name w:val="Comment Text Char"/>
    <w:basedOn w:val="DefaultParagraphFont"/>
    <w:link w:val="CommentText"/>
    <w:uiPriority w:val="99"/>
    <w:rsid w:val="0064507B"/>
    <w:rPr>
      <w:rFonts w:ascii="Times New Roman" w:eastAsiaTheme="minorEastAsia" w:hAnsi="Times New Roman"/>
      <w:sz w:val="20"/>
      <w:szCs w:val="20"/>
    </w:rPr>
  </w:style>
  <w:style w:type="paragraph" w:customStyle="1" w:styleId="Default">
    <w:name w:val="Default"/>
    <w:link w:val="DefaultChar"/>
    <w:rsid w:val="0064507B"/>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64507B"/>
    <w:rPr>
      <w:rFonts w:ascii="Calibri" w:hAnsi="Calibri" w:cs="Calibri"/>
      <w:color w:val="000000"/>
      <w:sz w:val="24"/>
      <w:szCs w:val="24"/>
    </w:rPr>
  </w:style>
  <w:style w:type="character" w:styleId="Strong">
    <w:name w:val="Strong"/>
    <w:basedOn w:val="DefaultParagraphFont"/>
    <w:uiPriority w:val="22"/>
    <w:qFormat/>
    <w:rsid w:val="0064507B"/>
    <w:rPr>
      <w:b/>
      <w:bCs/>
      <w:spacing w:val="0"/>
    </w:rPr>
  </w:style>
  <w:style w:type="character" w:styleId="Emphasis">
    <w:name w:val="Emphasis"/>
    <w:uiPriority w:val="20"/>
    <w:qFormat/>
    <w:rsid w:val="0064507B"/>
    <w:rPr>
      <w:b/>
      <w:bCs/>
      <w:i/>
      <w:iCs/>
      <w:color w:val="auto"/>
    </w:rPr>
  </w:style>
  <w:style w:type="paragraph" w:styleId="NormalWeb">
    <w:name w:val="Normal (Web)"/>
    <w:basedOn w:val="Normal"/>
    <w:uiPriority w:val="99"/>
    <w:unhideWhenUsed/>
    <w:rsid w:val="0064507B"/>
    <w:pPr>
      <w:spacing w:before="100" w:beforeAutospacing="1" w:after="100" w:afterAutospacing="1" w:line="240" w:lineRule="auto"/>
    </w:pPr>
    <w:rPr>
      <w:rFonts w:cs="Times New Roman"/>
      <w:szCs w:val="24"/>
      <w:lang w:eastAsia="en-GB"/>
    </w:rPr>
  </w:style>
  <w:style w:type="paragraph" w:styleId="BalloonText">
    <w:name w:val="Balloon Text"/>
    <w:basedOn w:val="Normal"/>
    <w:link w:val="BalloonTextChar"/>
    <w:uiPriority w:val="99"/>
    <w:semiHidden/>
    <w:unhideWhenUsed/>
    <w:rsid w:val="006450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7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4507B"/>
    <w:rPr>
      <w:b/>
      <w:bCs/>
    </w:rPr>
  </w:style>
  <w:style w:type="character" w:customStyle="1" w:styleId="CommentSubjectChar">
    <w:name w:val="Comment Subject Char"/>
    <w:basedOn w:val="CommentTextChar"/>
    <w:link w:val="CommentSubject"/>
    <w:uiPriority w:val="99"/>
    <w:semiHidden/>
    <w:rsid w:val="0064507B"/>
    <w:rPr>
      <w:rFonts w:ascii="Times New Roman" w:eastAsiaTheme="minorEastAsia" w:hAnsi="Times New Roman"/>
      <w:b/>
      <w:bCs/>
      <w:sz w:val="20"/>
      <w:szCs w:val="20"/>
    </w:rPr>
  </w:style>
  <w:style w:type="paragraph" w:styleId="Header">
    <w:name w:val="header"/>
    <w:basedOn w:val="Normal"/>
    <w:link w:val="HeaderChar"/>
    <w:uiPriority w:val="99"/>
    <w:unhideWhenUsed/>
    <w:rsid w:val="006450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4507B"/>
    <w:rPr>
      <w:rFonts w:ascii="Times New Roman" w:eastAsiaTheme="minorEastAsia" w:hAnsi="Times New Roman"/>
      <w:sz w:val="24"/>
    </w:rPr>
  </w:style>
  <w:style w:type="paragraph" w:styleId="Footer">
    <w:name w:val="footer"/>
    <w:basedOn w:val="Normal"/>
    <w:link w:val="FooterChar"/>
    <w:uiPriority w:val="99"/>
    <w:unhideWhenUsed/>
    <w:rsid w:val="006450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4507B"/>
    <w:rPr>
      <w:rFonts w:ascii="Times New Roman" w:eastAsiaTheme="minorEastAsia" w:hAnsi="Times New Roman"/>
      <w:sz w:val="24"/>
    </w:rPr>
  </w:style>
  <w:style w:type="paragraph" w:customStyle="1" w:styleId="EndNoteBibliographyTitle">
    <w:name w:val="EndNote Bibliography Title"/>
    <w:basedOn w:val="Normal"/>
    <w:link w:val="EndNoteBibliographyTitleChar"/>
    <w:rsid w:val="0064507B"/>
    <w:pPr>
      <w:spacing w:after="0"/>
      <w:jc w:val="center"/>
    </w:pPr>
    <w:rPr>
      <w:rFonts w:cs="Times New Roman"/>
      <w:noProof/>
      <w:szCs w:val="32"/>
      <w:lang w:val="en-US"/>
    </w:rPr>
  </w:style>
  <w:style w:type="character" w:customStyle="1" w:styleId="EndNoteBibliographyTitleChar">
    <w:name w:val="EndNote Bibliography Title Char"/>
    <w:basedOn w:val="Heading1Char"/>
    <w:link w:val="EndNoteBibliographyTitle"/>
    <w:rsid w:val="0064507B"/>
    <w:rPr>
      <w:rFonts w:ascii="Times New Roman" w:eastAsiaTheme="minorEastAsia" w:hAnsi="Times New Roman" w:cs="Times New Roman"/>
      <w:b w:val="0"/>
      <w:noProof/>
      <w:sz w:val="24"/>
      <w:szCs w:val="32"/>
      <w:lang w:val="en-US"/>
    </w:rPr>
  </w:style>
  <w:style w:type="paragraph" w:customStyle="1" w:styleId="EndNoteBibliography">
    <w:name w:val="EndNote Bibliography"/>
    <w:basedOn w:val="Normal"/>
    <w:link w:val="EndNoteBibliographyChar"/>
    <w:rsid w:val="0064507B"/>
    <w:pPr>
      <w:spacing w:line="240" w:lineRule="auto"/>
    </w:pPr>
    <w:rPr>
      <w:rFonts w:cs="Times New Roman"/>
      <w:noProof/>
      <w:szCs w:val="32"/>
      <w:lang w:val="en-US"/>
    </w:rPr>
  </w:style>
  <w:style w:type="character" w:customStyle="1" w:styleId="EndNoteBibliographyChar">
    <w:name w:val="EndNote Bibliography Char"/>
    <w:basedOn w:val="Heading1Char"/>
    <w:link w:val="EndNoteBibliography"/>
    <w:rsid w:val="0064507B"/>
    <w:rPr>
      <w:rFonts w:ascii="Times New Roman" w:eastAsiaTheme="minorEastAsia" w:hAnsi="Times New Roman" w:cs="Times New Roman"/>
      <w:b w:val="0"/>
      <w:noProof/>
      <w:sz w:val="24"/>
      <w:szCs w:val="32"/>
      <w:lang w:val="en-US"/>
    </w:rPr>
  </w:style>
  <w:style w:type="table" w:styleId="TableGrid">
    <w:name w:val="Table Grid"/>
    <w:basedOn w:val="TableNormal"/>
    <w:uiPriority w:val="39"/>
    <w:rsid w:val="0064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07B"/>
    <w:pPr>
      <w:ind w:left="720"/>
      <w:contextualSpacing/>
    </w:pPr>
  </w:style>
  <w:style w:type="character" w:customStyle="1" w:styleId="UnresolvedMention1">
    <w:name w:val="Unresolved Mention1"/>
    <w:basedOn w:val="DefaultParagraphFont"/>
    <w:uiPriority w:val="99"/>
    <w:semiHidden/>
    <w:unhideWhenUsed/>
    <w:rsid w:val="0064507B"/>
    <w:rPr>
      <w:color w:val="605E5C"/>
      <w:shd w:val="clear" w:color="auto" w:fill="E1DFDD"/>
    </w:rPr>
  </w:style>
  <w:style w:type="character" w:customStyle="1" w:styleId="UnresolvedMention2">
    <w:name w:val="Unresolved Mention2"/>
    <w:basedOn w:val="DefaultParagraphFont"/>
    <w:uiPriority w:val="99"/>
    <w:semiHidden/>
    <w:unhideWhenUsed/>
    <w:rsid w:val="0064507B"/>
    <w:rPr>
      <w:color w:val="605E5C"/>
      <w:shd w:val="clear" w:color="auto" w:fill="E1DFDD"/>
    </w:rPr>
  </w:style>
  <w:style w:type="paragraph" w:styleId="Revision">
    <w:name w:val="Revision"/>
    <w:hidden/>
    <w:uiPriority w:val="99"/>
    <w:semiHidden/>
    <w:rsid w:val="0064507B"/>
    <w:pPr>
      <w:spacing w:after="0" w:line="240" w:lineRule="auto"/>
    </w:pPr>
    <w:rPr>
      <w:rFonts w:ascii="Times New Roman" w:eastAsiaTheme="minorEastAsia" w:hAnsi="Times New Roman"/>
      <w:sz w:val="24"/>
    </w:rPr>
  </w:style>
  <w:style w:type="character" w:customStyle="1" w:styleId="UnresolvedMention3">
    <w:name w:val="Unresolved Mention3"/>
    <w:basedOn w:val="DefaultParagraphFont"/>
    <w:uiPriority w:val="99"/>
    <w:semiHidden/>
    <w:unhideWhenUsed/>
    <w:rsid w:val="0064507B"/>
    <w:rPr>
      <w:color w:val="605E5C"/>
      <w:shd w:val="clear" w:color="auto" w:fill="E1DFDD"/>
    </w:rPr>
  </w:style>
  <w:style w:type="character" w:customStyle="1" w:styleId="UnresolvedMention4">
    <w:name w:val="Unresolved Mention4"/>
    <w:basedOn w:val="DefaultParagraphFont"/>
    <w:uiPriority w:val="99"/>
    <w:semiHidden/>
    <w:unhideWhenUsed/>
    <w:rsid w:val="0064507B"/>
    <w:rPr>
      <w:color w:val="605E5C"/>
      <w:shd w:val="clear" w:color="auto" w:fill="E1DFDD"/>
    </w:rPr>
  </w:style>
  <w:style w:type="paragraph" w:customStyle="1" w:styleId="xmsonormal">
    <w:name w:val="x_msonormal"/>
    <w:basedOn w:val="Normal"/>
    <w:rsid w:val="0064507B"/>
    <w:pPr>
      <w:spacing w:before="100" w:beforeAutospacing="1" w:after="100" w:afterAutospacing="1" w:line="240" w:lineRule="auto"/>
    </w:pPr>
    <w:rPr>
      <w:rFonts w:eastAsia="Times New Roman" w:cs="Times New Roman"/>
      <w:szCs w:val="24"/>
      <w:lang w:eastAsia="en-GB"/>
    </w:rPr>
  </w:style>
  <w:style w:type="character" w:customStyle="1" w:styleId="msoins0">
    <w:name w:val="msoins"/>
    <w:basedOn w:val="DefaultParagraphFont"/>
    <w:rsid w:val="0064507B"/>
  </w:style>
  <w:style w:type="character" w:styleId="LineNumber">
    <w:name w:val="line number"/>
    <w:basedOn w:val="DefaultParagraphFont"/>
    <w:uiPriority w:val="99"/>
    <w:semiHidden/>
    <w:unhideWhenUsed/>
    <w:rsid w:val="0064507B"/>
  </w:style>
  <w:style w:type="character" w:customStyle="1" w:styleId="UnresolvedMention5">
    <w:name w:val="Unresolved Mention5"/>
    <w:basedOn w:val="DefaultParagraphFont"/>
    <w:uiPriority w:val="99"/>
    <w:semiHidden/>
    <w:unhideWhenUsed/>
    <w:rsid w:val="0064507B"/>
    <w:rPr>
      <w:color w:val="605E5C"/>
      <w:shd w:val="clear" w:color="auto" w:fill="E1DFDD"/>
    </w:rPr>
  </w:style>
  <w:style w:type="character" w:customStyle="1" w:styleId="UnresolvedMention6">
    <w:name w:val="Unresolved Mention6"/>
    <w:basedOn w:val="DefaultParagraphFont"/>
    <w:uiPriority w:val="99"/>
    <w:semiHidden/>
    <w:unhideWhenUsed/>
    <w:rsid w:val="0064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tlana.glinianaia@ncl.ac.uk" TargetMode="External"/><Relationship Id="rId12" Type="http://schemas.openxmlformats.org/officeDocument/2006/relationships/hyperlink" Target="https://eu-rd-platform.jrc.ec.europa.eu/eurocat/eurocat-data/prevalence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d-platform.jrc.ec.europa.eu/eurocat/eurocat-data/prevalence_en%2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31</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Glinyanaya</dc:creator>
  <cp:keywords/>
  <dc:description/>
  <cp:lastModifiedBy>svetlana glinianaia</cp:lastModifiedBy>
  <cp:revision>5</cp:revision>
  <dcterms:created xsi:type="dcterms:W3CDTF">2021-11-01T15:01:00Z</dcterms:created>
  <dcterms:modified xsi:type="dcterms:W3CDTF">2021-11-02T09:43:00Z</dcterms:modified>
</cp:coreProperties>
</file>